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806817" w14:textId="77777777" w:rsidR="003E23C4" w:rsidRDefault="003E23C4" w:rsidP="003E23C4">
      <w:pPr>
        <w:spacing w:after="0" w:line="240" w:lineRule="auto"/>
        <w:jc w:val="center"/>
        <w:rPr>
          <w:rFonts w:ascii="Arial" w:hAnsi="Arial" w:cs="Arial"/>
          <w:b/>
          <w:sz w:val="24"/>
          <w:szCs w:val="24"/>
          <w:u w:val="single"/>
        </w:rPr>
      </w:pPr>
      <w:r>
        <w:rPr>
          <w:rFonts w:ascii="Arial" w:hAnsi="Arial" w:cs="Arial"/>
          <w:b/>
          <w:sz w:val="24"/>
          <w:szCs w:val="24"/>
          <w:u w:val="single"/>
        </w:rPr>
        <w:t>T</w:t>
      </w:r>
      <w:r w:rsidRPr="0061462D">
        <w:rPr>
          <w:rFonts w:ascii="Arial" w:hAnsi="Arial" w:cs="Arial"/>
          <w:b/>
          <w:sz w:val="24"/>
          <w:szCs w:val="24"/>
          <w:u w:val="single"/>
        </w:rPr>
        <w:t xml:space="preserve">op </w:t>
      </w:r>
      <w:r>
        <w:rPr>
          <w:rFonts w:ascii="Arial" w:hAnsi="Arial" w:cs="Arial"/>
          <w:b/>
          <w:sz w:val="24"/>
          <w:szCs w:val="24"/>
          <w:u w:val="single"/>
        </w:rPr>
        <w:t>F</w:t>
      </w:r>
      <w:r w:rsidRPr="0061462D">
        <w:rPr>
          <w:rFonts w:ascii="Arial" w:hAnsi="Arial" w:cs="Arial"/>
          <w:b/>
          <w:sz w:val="24"/>
          <w:szCs w:val="24"/>
          <w:u w:val="single"/>
        </w:rPr>
        <w:t xml:space="preserve">ive </w:t>
      </w:r>
      <w:r>
        <w:rPr>
          <w:rFonts w:ascii="Arial" w:hAnsi="Arial" w:cs="Arial"/>
          <w:b/>
          <w:sz w:val="24"/>
          <w:szCs w:val="24"/>
          <w:u w:val="single"/>
        </w:rPr>
        <w:t>E</w:t>
      </w:r>
      <w:r w:rsidRPr="0061462D">
        <w:rPr>
          <w:rFonts w:ascii="Arial" w:hAnsi="Arial" w:cs="Arial"/>
          <w:b/>
          <w:sz w:val="24"/>
          <w:szCs w:val="24"/>
          <w:u w:val="single"/>
        </w:rPr>
        <w:t xml:space="preserve">xecution </w:t>
      </w:r>
      <w:r>
        <w:rPr>
          <w:rFonts w:ascii="Arial" w:hAnsi="Arial" w:cs="Arial"/>
          <w:b/>
          <w:sz w:val="24"/>
          <w:szCs w:val="24"/>
          <w:u w:val="single"/>
        </w:rPr>
        <w:t>V</w:t>
      </w:r>
      <w:r w:rsidRPr="0061462D">
        <w:rPr>
          <w:rFonts w:ascii="Arial" w:hAnsi="Arial" w:cs="Arial"/>
          <w:b/>
          <w:sz w:val="24"/>
          <w:szCs w:val="24"/>
          <w:u w:val="single"/>
        </w:rPr>
        <w:t xml:space="preserve">enues </w:t>
      </w:r>
      <w:r>
        <w:rPr>
          <w:rFonts w:ascii="Arial" w:hAnsi="Arial" w:cs="Arial"/>
          <w:b/>
          <w:sz w:val="24"/>
          <w:szCs w:val="24"/>
          <w:u w:val="single"/>
        </w:rPr>
        <w:t>&amp; E</w:t>
      </w:r>
      <w:r w:rsidRPr="0061462D">
        <w:rPr>
          <w:rFonts w:ascii="Arial" w:hAnsi="Arial" w:cs="Arial"/>
          <w:b/>
          <w:sz w:val="24"/>
          <w:szCs w:val="24"/>
          <w:u w:val="single"/>
        </w:rPr>
        <w:t xml:space="preserve">xecution </w:t>
      </w:r>
      <w:r>
        <w:rPr>
          <w:rFonts w:ascii="Arial" w:hAnsi="Arial" w:cs="Arial"/>
          <w:b/>
          <w:sz w:val="24"/>
          <w:szCs w:val="24"/>
          <w:u w:val="single"/>
        </w:rPr>
        <w:t>Quality Report - 2019</w:t>
      </w:r>
    </w:p>
    <w:p w14:paraId="5B262D72" w14:textId="7C70552C" w:rsidR="003E23C4" w:rsidRDefault="003E23C4" w:rsidP="003E23C4">
      <w:pPr>
        <w:spacing w:after="0" w:line="240" w:lineRule="auto"/>
        <w:rPr>
          <w:rFonts w:ascii="Arial" w:hAnsi="Arial" w:cs="Arial"/>
          <w:b/>
          <w:sz w:val="24"/>
          <w:szCs w:val="24"/>
          <w:u w:val="single"/>
        </w:rPr>
      </w:pPr>
    </w:p>
    <w:p w14:paraId="7C807B95" w14:textId="776E0E11" w:rsidR="000B7609" w:rsidRDefault="000B7609" w:rsidP="000B7609">
      <w:pPr>
        <w:spacing w:after="0" w:line="240" w:lineRule="auto"/>
        <w:jc w:val="both"/>
        <w:rPr>
          <w:rFonts w:ascii="Arial" w:hAnsi="Arial" w:cs="Arial"/>
          <w:bCs/>
          <w:sz w:val="24"/>
          <w:szCs w:val="24"/>
        </w:rPr>
      </w:pPr>
      <w:r w:rsidRPr="000B7609">
        <w:rPr>
          <w:rFonts w:ascii="Arial" w:hAnsi="Arial" w:cs="Arial"/>
          <w:bCs/>
          <w:sz w:val="24"/>
          <w:szCs w:val="24"/>
        </w:rPr>
        <w:t xml:space="preserve">According to </w:t>
      </w:r>
      <w:r>
        <w:rPr>
          <w:rFonts w:ascii="Arial" w:hAnsi="Arial" w:cs="Arial"/>
          <w:bCs/>
          <w:sz w:val="24"/>
          <w:szCs w:val="24"/>
        </w:rPr>
        <w:t xml:space="preserve">Law 87(I)/2017 and Directive 2014/65/EU, known as MiFID II, CIFs that </w:t>
      </w:r>
      <w:r w:rsidRPr="000B7609">
        <w:rPr>
          <w:rFonts w:ascii="Arial" w:hAnsi="Arial" w:cs="Arial"/>
          <w:bCs/>
          <w:sz w:val="24"/>
          <w:szCs w:val="24"/>
        </w:rPr>
        <w:t xml:space="preserve">execute client orders must </w:t>
      </w:r>
      <w:proofErr w:type="spellStart"/>
      <w:r w:rsidRPr="000B7609">
        <w:rPr>
          <w:rFonts w:ascii="Arial" w:hAnsi="Arial" w:cs="Arial"/>
          <w:bCs/>
          <w:sz w:val="24"/>
          <w:szCs w:val="24"/>
        </w:rPr>
        <w:t>summarise</w:t>
      </w:r>
      <w:proofErr w:type="spellEnd"/>
      <w:r w:rsidRPr="000B7609">
        <w:rPr>
          <w:rFonts w:ascii="Arial" w:hAnsi="Arial" w:cs="Arial"/>
          <w:bCs/>
          <w:sz w:val="24"/>
          <w:szCs w:val="24"/>
        </w:rPr>
        <w:t xml:space="preserve"> and make public on an annual basis, for each class of financial instruments, the top five execution venues in terms of trading volumes where it executed client orders in the preceding year and information on the quality of execution obtained.</w:t>
      </w:r>
    </w:p>
    <w:p w14:paraId="541E8D19" w14:textId="3317D9B7" w:rsidR="000B7609" w:rsidRDefault="000B7609" w:rsidP="000B7609">
      <w:pPr>
        <w:spacing w:after="0" w:line="240" w:lineRule="auto"/>
        <w:jc w:val="both"/>
        <w:rPr>
          <w:rFonts w:ascii="Arial" w:hAnsi="Arial" w:cs="Arial"/>
          <w:bCs/>
          <w:sz w:val="24"/>
          <w:szCs w:val="24"/>
        </w:rPr>
      </w:pPr>
    </w:p>
    <w:p w14:paraId="35080EF5" w14:textId="4BA41E0A" w:rsidR="000B7609" w:rsidRDefault="000B7609" w:rsidP="000B7609">
      <w:pPr>
        <w:spacing w:after="0" w:line="240" w:lineRule="auto"/>
        <w:jc w:val="both"/>
        <w:rPr>
          <w:rFonts w:ascii="Arial" w:hAnsi="Arial" w:cs="Arial"/>
          <w:bCs/>
          <w:sz w:val="24"/>
          <w:szCs w:val="24"/>
        </w:rPr>
      </w:pPr>
      <w:r>
        <w:rPr>
          <w:rFonts w:ascii="Arial" w:hAnsi="Arial" w:cs="Arial"/>
          <w:bCs/>
          <w:sz w:val="24"/>
          <w:szCs w:val="24"/>
        </w:rPr>
        <w:t xml:space="preserve">The purpose of this report is to provide sufficient information to our clients in order for them to be in position to examine and evaluate the quality and ways of execution offered by UGM Securities Ltd. </w:t>
      </w:r>
    </w:p>
    <w:p w14:paraId="722133C8" w14:textId="3278963E" w:rsidR="000B7609" w:rsidRDefault="000B7609" w:rsidP="000B7609">
      <w:pPr>
        <w:spacing w:after="0" w:line="240" w:lineRule="auto"/>
        <w:jc w:val="both"/>
        <w:rPr>
          <w:rFonts w:ascii="Arial" w:hAnsi="Arial" w:cs="Arial"/>
          <w:bCs/>
          <w:sz w:val="24"/>
          <w:szCs w:val="24"/>
        </w:rPr>
      </w:pPr>
    </w:p>
    <w:p w14:paraId="57288D75" w14:textId="560011FC" w:rsidR="007E0D6D" w:rsidRDefault="007E0D6D" w:rsidP="000B7609">
      <w:pPr>
        <w:spacing w:after="0" w:line="240" w:lineRule="auto"/>
        <w:jc w:val="both"/>
        <w:rPr>
          <w:rFonts w:ascii="Arial" w:hAnsi="Arial" w:cs="Arial"/>
          <w:bCs/>
          <w:sz w:val="24"/>
          <w:szCs w:val="24"/>
        </w:rPr>
      </w:pPr>
      <w:r>
        <w:rPr>
          <w:rFonts w:ascii="Arial" w:hAnsi="Arial" w:cs="Arial"/>
          <w:bCs/>
          <w:sz w:val="24"/>
          <w:szCs w:val="24"/>
        </w:rPr>
        <w:t xml:space="preserve">This Report applies only to Professional Clients as UGM Securities does not work with Retail Clients. </w:t>
      </w:r>
    </w:p>
    <w:p w14:paraId="5BBEC930" w14:textId="2217C78D" w:rsidR="007E0D6D" w:rsidRDefault="007E0D6D" w:rsidP="000B7609">
      <w:pPr>
        <w:spacing w:after="0" w:line="240" w:lineRule="auto"/>
        <w:jc w:val="both"/>
        <w:rPr>
          <w:rFonts w:ascii="Arial" w:hAnsi="Arial" w:cs="Arial"/>
          <w:bCs/>
          <w:sz w:val="24"/>
          <w:szCs w:val="24"/>
        </w:rPr>
      </w:pPr>
      <w:r>
        <w:rPr>
          <w:rFonts w:ascii="Arial" w:hAnsi="Arial" w:cs="Arial"/>
          <w:bCs/>
          <w:sz w:val="24"/>
          <w:szCs w:val="24"/>
        </w:rPr>
        <w:t xml:space="preserve">Report on top five execution venues to which the client orders were directed during the previous reference period can be found on the Company’s website </w:t>
      </w:r>
      <w:hyperlink r:id="rId8" w:history="1">
        <w:r w:rsidRPr="00E92541">
          <w:rPr>
            <w:rStyle w:val="Hyperlink"/>
            <w:rFonts w:ascii="Arial" w:hAnsi="Arial" w:cs="Arial"/>
            <w:bCs/>
            <w:sz w:val="24"/>
            <w:szCs w:val="24"/>
          </w:rPr>
          <w:t>www.ugm.com.cy</w:t>
        </w:r>
      </w:hyperlink>
      <w:r>
        <w:rPr>
          <w:rFonts w:ascii="Arial" w:hAnsi="Arial" w:cs="Arial"/>
          <w:bCs/>
          <w:sz w:val="24"/>
          <w:szCs w:val="24"/>
        </w:rPr>
        <w:t xml:space="preserve">. </w:t>
      </w:r>
    </w:p>
    <w:p w14:paraId="054F2998" w14:textId="48FB56A1" w:rsidR="007E0D6D" w:rsidRDefault="007E0D6D" w:rsidP="000B7609">
      <w:pPr>
        <w:spacing w:after="0" w:line="240" w:lineRule="auto"/>
        <w:jc w:val="both"/>
        <w:rPr>
          <w:rFonts w:ascii="Arial" w:hAnsi="Arial" w:cs="Arial"/>
          <w:bCs/>
          <w:sz w:val="24"/>
          <w:szCs w:val="24"/>
        </w:rPr>
      </w:pPr>
    </w:p>
    <w:p w14:paraId="6D3730FB" w14:textId="2E786BE1" w:rsidR="007E0D6D" w:rsidRDefault="007E0D6D" w:rsidP="000B7609">
      <w:pPr>
        <w:spacing w:after="0" w:line="240" w:lineRule="auto"/>
        <w:jc w:val="both"/>
        <w:rPr>
          <w:rFonts w:ascii="Arial" w:hAnsi="Arial" w:cs="Arial"/>
          <w:bCs/>
          <w:sz w:val="24"/>
          <w:szCs w:val="24"/>
        </w:rPr>
      </w:pPr>
      <w:r>
        <w:rPr>
          <w:rFonts w:ascii="Arial" w:hAnsi="Arial" w:cs="Arial"/>
          <w:bCs/>
          <w:sz w:val="24"/>
          <w:szCs w:val="24"/>
        </w:rPr>
        <w:t xml:space="preserve">Moreover, it is worth noting that all clients’ orders were executed on the following capacity: </w:t>
      </w:r>
    </w:p>
    <w:p w14:paraId="5CCF61E4" w14:textId="16D1D94C" w:rsidR="007E0D6D" w:rsidRDefault="007E0D6D" w:rsidP="000B7609">
      <w:pPr>
        <w:spacing w:after="0" w:line="240" w:lineRule="auto"/>
        <w:jc w:val="both"/>
        <w:rPr>
          <w:rFonts w:ascii="Arial" w:hAnsi="Arial" w:cs="Arial"/>
          <w:bCs/>
          <w:sz w:val="24"/>
          <w:szCs w:val="24"/>
        </w:rPr>
      </w:pPr>
      <w:r>
        <w:rPr>
          <w:rFonts w:ascii="Arial" w:hAnsi="Arial" w:cs="Arial"/>
          <w:bCs/>
          <w:sz w:val="24"/>
          <w:szCs w:val="24"/>
        </w:rPr>
        <w:t xml:space="preserve">Matched principal (MTCH). (MiFID II </w:t>
      </w:r>
      <w:r w:rsidR="005C3E9B">
        <w:rPr>
          <w:rFonts w:ascii="Arial" w:hAnsi="Arial" w:cs="Arial"/>
          <w:bCs/>
          <w:sz w:val="24"/>
          <w:szCs w:val="24"/>
        </w:rPr>
        <w:t xml:space="preserve">refers to ‘matched principal trading’ as to </w:t>
      </w:r>
      <w:r w:rsidRPr="007E0D6D">
        <w:rPr>
          <w:rFonts w:ascii="Arial" w:hAnsi="Arial" w:cs="Arial"/>
          <w:bCs/>
          <w:sz w:val="24"/>
          <w:szCs w:val="24"/>
        </w:rPr>
        <w:t>‘</w:t>
      </w:r>
      <w:r w:rsidRPr="007E0D6D">
        <w:rPr>
          <w:rFonts w:ascii="Arial" w:hAnsi="Arial" w:cs="Arial"/>
          <w:sz w:val="24"/>
          <w:szCs w:val="24"/>
        </w:rPr>
        <w:t>a transaction where the facilitator interposes itself between the buyer and the seller to the transaction in such a way that it is never exposed to market risk throughout the execution of the transaction, with both sides executed simultaneously, and where the transaction is concluded at a price where the facilitator makes no profit or loss, other than a previously disclosed commission, fee or charge for the transaction’</w:t>
      </w:r>
      <w:r>
        <w:t>)</w:t>
      </w:r>
      <w:r w:rsidR="005C3E9B">
        <w:t>.</w:t>
      </w:r>
    </w:p>
    <w:p w14:paraId="1DD3DCE6" w14:textId="77777777" w:rsidR="007E0D6D" w:rsidRDefault="007E0D6D" w:rsidP="000B7609">
      <w:pPr>
        <w:spacing w:after="0" w:line="240" w:lineRule="auto"/>
        <w:jc w:val="both"/>
        <w:rPr>
          <w:rFonts w:ascii="Arial" w:hAnsi="Arial" w:cs="Arial"/>
          <w:bCs/>
          <w:sz w:val="24"/>
          <w:szCs w:val="24"/>
        </w:rPr>
      </w:pPr>
    </w:p>
    <w:p w14:paraId="75CB6B3B" w14:textId="77777777" w:rsidR="000B7609" w:rsidRPr="000B7609" w:rsidRDefault="000B7609" w:rsidP="000B7609">
      <w:pPr>
        <w:spacing w:after="0" w:line="240" w:lineRule="auto"/>
        <w:jc w:val="both"/>
        <w:rPr>
          <w:rFonts w:ascii="Arial" w:hAnsi="Arial" w:cs="Arial"/>
          <w:bCs/>
          <w:sz w:val="24"/>
          <w:szCs w:val="24"/>
        </w:rPr>
      </w:pPr>
    </w:p>
    <w:p w14:paraId="62AA4840" w14:textId="77777777" w:rsidR="003E23C4" w:rsidRDefault="003E23C4" w:rsidP="000B7609">
      <w:pPr>
        <w:pStyle w:val="ListParagraph"/>
        <w:numPr>
          <w:ilvl w:val="0"/>
          <w:numId w:val="7"/>
        </w:numPr>
        <w:spacing w:after="0" w:line="240" w:lineRule="auto"/>
        <w:jc w:val="both"/>
        <w:rPr>
          <w:rFonts w:ascii="Arial" w:hAnsi="Arial" w:cs="Arial"/>
          <w:b/>
          <w:sz w:val="24"/>
          <w:szCs w:val="24"/>
        </w:rPr>
      </w:pPr>
      <w:r>
        <w:rPr>
          <w:rFonts w:ascii="Arial" w:hAnsi="Arial" w:cs="Arial"/>
          <w:b/>
          <w:sz w:val="24"/>
          <w:szCs w:val="24"/>
        </w:rPr>
        <w:t xml:space="preserve">Top Five Execution Venues </w:t>
      </w:r>
    </w:p>
    <w:p w14:paraId="39A2B749" w14:textId="77777777" w:rsidR="003E23C4" w:rsidRDefault="003E23C4" w:rsidP="000B7609">
      <w:pPr>
        <w:spacing w:after="0" w:line="240" w:lineRule="auto"/>
        <w:jc w:val="both"/>
        <w:rPr>
          <w:rFonts w:ascii="Arial" w:hAnsi="Arial" w:cs="Arial"/>
          <w:b/>
          <w:sz w:val="24"/>
          <w:szCs w:val="24"/>
        </w:rPr>
      </w:pPr>
    </w:p>
    <w:p w14:paraId="325E44E9" w14:textId="45958760" w:rsidR="003E23C4" w:rsidRPr="006C1483" w:rsidRDefault="003E23C4" w:rsidP="000B7609">
      <w:pPr>
        <w:spacing w:after="0" w:line="240" w:lineRule="auto"/>
        <w:jc w:val="both"/>
        <w:rPr>
          <w:rFonts w:ascii="Arial" w:hAnsi="Arial" w:cs="Arial"/>
          <w:bCs/>
          <w:sz w:val="24"/>
          <w:szCs w:val="24"/>
        </w:rPr>
      </w:pPr>
      <w:r w:rsidRPr="006C1483">
        <w:rPr>
          <w:rFonts w:ascii="Arial" w:hAnsi="Arial" w:cs="Arial"/>
          <w:bCs/>
          <w:sz w:val="24"/>
          <w:szCs w:val="24"/>
        </w:rPr>
        <w:t>The C</w:t>
      </w:r>
      <w:r>
        <w:rPr>
          <w:rFonts w:ascii="Arial" w:hAnsi="Arial" w:cs="Arial"/>
          <w:bCs/>
          <w:sz w:val="24"/>
          <w:szCs w:val="24"/>
        </w:rPr>
        <w:t>ompany has been trading in debt instruments (e.g. bonds) in the over the counter (OTC) markets. All trades were executed OTC directly with the company’s counterparties and outside any trading venues</w:t>
      </w:r>
      <w:r w:rsidR="00BF22A8">
        <w:rPr>
          <w:rFonts w:ascii="Arial" w:hAnsi="Arial" w:cs="Arial"/>
          <w:bCs/>
          <w:sz w:val="24"/>
          <w:szCs w:val="24"/>
        </w:rPr>
        <w:t xml:space="preserve"> with a help of Bloomberg trading </w:t>
      </w:r>
      <w:r w:rsidR="00DF15C1">
        <w:rPr>
          <w:rFonts w:ascii="Arial" w:hAnsi="Arial" w:cs="Arial"/>
          <w:bCs/>
          <w:sz w:val="24"/>
          <w:szCs w:val="24"/>
        </w:rPr>
        <w:t>terminal</w:t>
      </w:r>
      <w:r w:rsidR="00BF22A8">
        <w:rPr>
          <w:rFonts w:ascii="Arial" w:hAnsi="Arial" w:cs="Arial"/>
          <w:bCs/>
          <w:sz w:val="24"/>
          <w:szCs w:val="24"/>
        </w:rPr>
        <w:t>.</w:t>
      </w:r>
    </w:p>
    <w:p w14:paraId="65866CDE" w14:textId="77777777" w:rsidR="003E23C4" w:rsidRPr="00667450" w:rsidRDefault="003E23C4" w:rsidP="000B7609">
      <w:pPr>
        <w:spacing w:after="0" w:line="240" w:lineRule="auto"/>
        <w:jc w:val="both"/>
        <w:rPr>
          <w:rFonts w:ascii="Arial" w:hAnsi="Arial" w:cs="Arial"/>
          <w:b/>
          <w:sz w:val="24"/>
          <w:szCs w:val="24"/>
        </w:rPr>
      </w:pPr>
    </w:p>
    <w:p w14:paraId="710B72C3" w14:textId="77777777" w:rsidR="003E23C4" w:rsidRDefault="003E23C4" w:rsidP="000B7609">
      <w:pPr>
        <w:pStyle w:val="ListParagraph"/>
        <w:numPr>
          <w:ilvl w:val="0"/>
          <w:numId w:val="7"/>
        </w:numPr>
        <w:spacing w:after="0" w:line="240" w:lineRule="auto"/>
        <w:jc w:val="both"/>
        <w:rPr>
          <w:rFonts w:ascii="Arial" w:hAnsi="Arial" w:cs="Arial"/>
          <w:b/>
          <w:sz w:val="24"/>
          <w:szCs w:val="24"/>
        </w:rPr>
      </w:pPr>
      <w:r>
        <w:rPr>
          <w:rFonts w:ascii="Arial" w:hAnsi="Arial" w:cs="Arial"/>
          <w:b/>
          <w:sz w:val="24"/>
          <w:szCs w:val="24"/>
        </w:rPr>
        <w:t>Execution Quality Report</w:t>
      </w:r>
    </w:p>
    <w:p w14:paraId="5F3E952E" w14:textId="77777777" w:rsidR="003E23C4" w:rsidRDefault="003E23C4" w:rsidP="000B7609">
      <w:pPr>
        <w:spacing w:after="0" w:line="240" w:lineRule="auto"/>
        <w:jc w:val="both"/>
        <w:rPr>
          <w:rFonts w:ascii="Arial" w:hAnsi="Arial" w:cs="Arial"/>
          <w:b/>
          <w:sz w:val="24"/>
          <w:szCs w:val="24"/>
        </w:rPr>
      </w:pPr>
    </w:p>
    <w:p w14:paraId="4B6E29F0" w14:textId="3EEE3A17" w:rsidR="00BF22A8" w:rsidRDefault="00BF22A8" w:rsidP="000B7609">
      <w:pPr>
        <w:pStyle w:val="ListParagraph"/>
        <w:numPr>
          <w:ilvl w:val="1"/>
          <w:numId w:val="7"/>
        </w:numPr>
        <w:spacing w:after="0" w:line="240" w:lineRule="auto"/>
        <w:jc w:val="both"/>
        <w:rPr>
          <w:rFonts w:ascii="Arial" w:hAnsi="Arial" w:cs="Arial"/>
          <w:b/>
          <w:sz w:val="24"/>
          <w:szCs w:val="24"/>
        </w:rPr>
      </w:pPr>
      <w:r>
        <w:rPr>
          <w:rFonts w:ascii="Arial" w:hAnsi="Arial" w:cs="Arial"/>
          <w:b/>
          <w:sz w:val="24"/>
          <w:szCs w:val="24"/>
        </w:rPr>
        <w:t>Execution Factors</w:t>
      </w:r>
    </w:p>
    <w:p w14:paraId="54375DBE" w14:textId="77777777" w:rsidR="00BF22A8" w:rsidRDefault="00BF22A8" w:rsidP="000B7609">
      <w:pPr>
        <w:pStyle w:val="ListParagraph"/>
        <w:spacing w:after="0" w:line="240" w:lineRule="auto"/>
        <w:jc w:val="both"/>
        <w:rPr>
          <w:rFonts w:ascii="Arial" w:hAnsi="Arial" w:cs="Arial"/>
          <w:b/>
          <w:sz w:val="24"/>
          <w:szCs w:val="24"/>
        </w:rPr>
      </w:pPr>
    </w:p>
    <w:p w14:paraId="6ABBD506" w14:textId="6AD84ABA" w:rsidR="00BF22A8" w:rsidRDefault="00BF22A8" w:rsidP="000B7609">
      <w:pPr>
        <w:pStyle w:val="ListParagraph"/>
        <w:spacing w:after="0" w:line="240" w:lineRule="auto"/>
        <w:ind w:left="0"/>
        <w:jc w:val="both"/>
        <w:rPr>
          <w:rFonts w:ascii="Arial" w:hAnsi="Arial" w:cs="Arial"/>
          <w:bCs/>
          <w:sz w:val="24"/>
          <w:szCs w:val="24"/>
        </w:rPr>
      </w:pPr>
      <w:r w:rsidRPr="00BF22A8">
        <w:rPr>
          <w:rFonts w:ascii="Arial" w:hAnsi="Arial" w:cs="Arial"/>
          <w:bCs/>
          <w:sz w:val="24"/>
          <w:szCs w:val="24"/>
        </w:rPr>
        <w:t>For bonds, and unless a Client stated otherwise, the Company took the below execution factors under consideration:</w:t>
      </w:r>
    </w:p>
    <w:p w14:paraId="06B7BD22" w14:textId="77777777" w:rsidR="005E6B76" w:rsidRDefault="005E6B76" w:rsidP="000B7609">
      <w:pPr>
        <w:pStyle w:val="ListParagraph"/>
        <w:spacing w:after="0" w:line="240" w:lineRule="auto"/>
        <w:ind w:left="0"/>
        <w:jc w:val="both"/>
        <w:rPr>
          <w:rFonts w:ascii="Arial" w:hAnsi="Arial" w:cs="Arial"/>
          <w:bCs/>
          <w:sz w:val="24"/>
          <w:szCs w:val="24"/>
        </w:rPr>
      </w:pPr>
    </w:p>
    <w:tbl>
      <w:tblPr>
        <w:tblStyle w:val="TableGrid"/>
        <w:tblW w:w="10170" w:type="dxa"/>
        <w:tblInd w:w="-5" w:type="dxa"/>
        <w:tblLook w:val="04A0" w:firstRow="1" w:lastRow="0" w:firstColumn="1" w:lastColumn="0" w:noHBand="0" w:noVBand="1"/>
      </w:tblPr>
      <w:tblGrid>
        <w:gridCol w:w="1776"/>
        <w:gridCol w:w="1984"/>
        <w:gridCol w:w="6410"/>
      </w:tblGrid>
      <w:tr w:rsidR="00BF22A8" w:rsidRPr="00BF22A8" w14:paraId="5324517E"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58D91D5A" w14:textId="77777777" w:rsidR="00BF22A8" w:rsidRPr="00BF22A8" w:rsidRDefault="00BF22A8" w:rsidP="000B7609">
            <w:pPr>
              <w:pStyle w:val="ListParagraph"/>
              <w:ind w:left="80"/>
              <w:jc w:val="both"/>
              <w:rPr>
                <w:rFonts w:ascii="Arial" w:hAnsi="Arial" w:cs="Arial"/>
                <w:b/>
                <w:bCs/>
                <w:sz w:val="24"/>
                <w:szCs w:val="24"/>
                <w:lang w:val="en-GB"/>
              </w:rPr>
            </w:pPr>
            <w:r w:rsidRPr="00BF22A8">
              <w:rPr>
                <w:rFonts w:ascii="Arial" w:hAnsi="Arial" w:cs="Arial"/>
                <w:b/>
                <w:bCs/>
                <w:sz w:val="24"/>
                <w:szCs w:val="24"/>
                <w:lang w:val="en-GB"/>
              </w:rPr>
              <w:t>FACTOR</w:t>
            </w:r>
          </w:p>
        </w:tc>
        <w:tc>
          <w:tcPr>
            <w:tcW w:w="1984" w:type="dxa"/>
            <w:tcBorders>
              <w:top w:val="single" w:sz="4" w:space="0" w:color="auto"/>
              <w:left w:val="single" w:sz="4" w:space="0" w:color="auto"/>
              <w:bottom w:val="single" w:sz="4" w:space="0" w:color="auto"/>
              <w:right w:val="single" w:sz="4" w:space="0" w:color="auto"/>
            </w:tcBorders>
            <w:hideMark/>
          </w:tcPr>
          <w:p w14:paraId="1C47EB27" w14:textId="77777777" w:rsidR="00BF22A8" w:rsidRPr="00BF22A8" w:rsidRDefault="00BF22A8" w:rsidP="000B7609">
            <w:pPr>
              <w:pStyle w:val="ListParagraph"/>
              <w:ind w:left="154"/>
              <w:jc w:val="both"/>
              <w:rPr>
                <w:rFonts w:ascii="Arial" w:hAnsi="Arial" w:cs="Arial"/>
                <w:b/>
                <w:bCs/>
                <w:sz w:val="24"/>
                <w:szCs w:val="24"/>
                <w:lang w:val="en-GB"/>
              </w:rPr>
            </w:pPr>
            <w:r w:rsidRPr="00BF22A8">
              <w:rPr>
                <w:rFonts w:ascii="Arial" w:hAnsi="Arial" w:cs="Arial"/>
                <w:b/>
                <w:bCs/>
                <w:sz w:val="24"/>
                <w:szCs w:val="24"/>
                <w:lang w:val="en-GB"/>
              </w:rPr>
              <w:t>IMPORTANCE</w:t>
            </w:r>
          </w:p>
        </w:tc>
        <w:tc>
          <w:tcPr>
            <w:tcW w:w="6410" w:type="dxa"/>
            <w:tcBorders>
              <w:top w:val="single" w:sz="4" w:space="0" w:color="auto"/>
              <w:left w:val="single" w:sz="4" w:space="0" w:color="auto"/>
              <w:bottom w:val="single" w:sz="4" w:space="0" w:color="auto"/>
              <w:right w:val="single" w:sz="4" w:space="0" w:color="auto"/>
            </w:tcBorders>
            <w:hideMark/>
          </w:tcPr>
          <w:p w14:paraId="0E14E866" w14:textId="77777777" w:rsidR="00BF22A8" w:rsidRPr="00BF22A8" w:rsidRDefault="00BF22A8" w:rsidP="000B7609">
            <w:pPr>
              <w:pStyle w:val="ListParagraph"/>
              <w:jc w:val="both"/>
              <w:rPr>
                <w:rFonts w:ascii="Arial" w:hAnsi="Arial" w:cs="Arial"/>
                <w:b/>
                <w:bCs/>
                <w:sz w:val="24"/>
                <w:szCs w:val="24"/>
                <w:lang w:val="en-GB"/>
              </w:rPr>
            </w:pPr>
            <w:r w:rsidRPr="00BF22A8">
              <w:rPr>
                <w:rFonts w:ascii="Arial" w:hAnsi="Arial" w:cs="Arial"/>
                <w:b/>
                <w:bCs/>
                <w:sz w:val="24"/>
                <w:szCs w:val="24"/>
                <w:lang w:val="en-GB"/>
              </w:rPr>
              <w:t>REMARKS</w:t>
            </w:r>
          </w:p>
        </w:tc>
      </w:tr>
      <w:tr w:rsidR="00BF22A8" w:rsidRPr="00BF22A8" w14:paraId="28348491"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335730B5"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lastRenderedPageBreak/>
              <w:t>Price</w:t>
            </w:r>
          </w:p>
        </w:tc>
        <w:tc>
          <w:tcPr>
            <w:tcW w:w="1984" w:type="dxa"/>
            <w:tcBorders>
              <w:top w:val="single" w:sz="4" w:space="0" w:color="auto"/>
              <w:left w:val="single" w:sz="4" w:space="0" w:color="auto"/>
              <w:bottom w:val="single" w:sz="4" w:space="0" w:color="auto"/>
              <w:right w:val="single" w:sz="4" w:space="0" w:color="auto"/>
            </w:tcBorders>
            <w:hideMark/>
          </w:tcPr>
          <w:p w14:paraId="32F452BE"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High</w:t>
            </w:r>
          </w:p>
        </w:tc>
        <w:tc>
          <w:tcPr>
            <w:tcW w:w="6410" w:type="dxa"/>
            <w:tcBorders>
              <w:top w:val="single" w:sz="4" w:space="0" w:color="auto"/>
              <w:left w:val="single" w:sz="4" w:space="0" w:color="auto"/>
              <w:bottom w:val="single" w:sz="4" w:space="0" w:color="auto"/>
              <w:right w:val="single" w:sz="4" w:space="0" w:color="auto"/>
            </w:tcBorders>
            <w:hideMark/>
          </w:tcPr>
          <w:p w14:paraId="62170555" w14:textId="77777777"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We give strong emphasis on the quality and level of the price data that we receive from external sources to provide our Clients with competitive price quotes.</w:t>
            </w:r>
          </w:p>
        </w:tc>
      </w:tr>
      <w:tr w:rsidR="00BF22A8" w:rsidRPr="00BF22A8" w14:paraId="13BBFFFC"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01CE7DBB"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Time / Speed</w:t>
            </w:r>
          </w:p>
        </w:tc>
        <w:tc>
          <w:tcPr>
            <w:tcW w:w="1984" w:type="dxa"/>
            <w:tcBorders>
              <w:top w:val="single" w:sz="4" w:space="0" w:color="auto"/>
              <w:left w:val="single" w:sz="4" w:space="0" w:color="auto"/>
              <w:bottom w:val="single" w:sz="4" w:space="0" w:color="auto"/>
              <w:right w:val="single" w:sz="4" w:space="0" w:color="auto"/>
            </w:tcBorders>
            <w:hideMark/>
          </w:tcPr>
          <w:p w14:paraId="69BA143F"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High</w:t>
            </w:r>
          </w:p>
        </w:tc>
        <w:tc>
          <w:tcPr>
            <w:tcW w:w="6410" w:type="dxa"/>
            <w:tcBorders>
              <w:top w:val="single" w:sz="4" w:space="0" w:color="auto"/>
              <w:left w:val="single" w:sz="4" w:space="0" w:color="auto"/>
              <w:bottom w:val="single" w:sz="4" w:space="0" w:color="auto"/>
              <w:right w:val="single" w:sz="4" w:space="0" w:color="auto"/>
            </w:tcBorders>
            <w:hideMark/>
          </w:tcPr>
          <w:p w14:paraId="22A7A043" w14:textId="77777777"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Execution speed and the opportunity for price improvement are critical to every trader and we repeatedly monitor this factor to ensure we maintain our high execution standards</w:t>
            </w:r>
          </w:p>
        </w:tc>
      </w:tr>
      <w:tr w:rsidR="001F2F19" w:rsidRPr="00BF22A8" w14:paraId="340A7404" w14:textId="77777777" w:rsidTr="00C56CBC">
        <w:tc>
          <w:tcPr>
            <w:tcW w:w="1776" w:type="dxa"/>
            <w:tcBorders>
              <w:top w:val="single" w:sz="4" w:space="0" w:color="auto"/>
              <w:left w:val="single" w:sz="4" w:space="0" w:color="auto"/>
              <w:bottom w:val="single" w:sz="4" w:space="0" w:color="auto"/>
              <w:right w:val="single" w:sz="4" w:space="0" w:color="auto"/>
            </w:tcBorders>
          </w:tcPr>
          <w:p w14:paraId="249E1AFC" w14:textId="32FDCB7C" w:rsidR="001F2F19" w:rsidRPr="001F2F19" w:rsidRDefault="001F2F19" w:rsidP="000B7609">
            <w:pPr>
              <w:pStyle w:val="ListParagraph"/>
              <w:ind w:left="80"/>
              <w:jc w:val="both"/>
              <w:rPr>
                <w:rFonts w:ascii="Arial" w:hAnsi="Arial" w:cs="Arial"/>
                <w:bCs/>
                <w:sz w:val="24"/>
                <w:szCs w:val="24"/>
                <w:lang w:val="en-GB"/>
              </w:rPr>
            </w:pPr>
            <w:r>
              <w:rPr>
                <w:rFonts w:ascii="Arial" w:hAnsi="Arial" w:cs="Arial"/>
                <w:bCs/>
                <w:sz w:val="24"/>
                <w:szCs w:val="24"/>
                <w:lang w:val="en-GB"/>
              </w:rPr>
              <w:t>Likelihood of execution</w:t>
            </w:r>
          </w:p>
        </w:tc>
        <w:tc>
          <w:tcPr>
            <w:tcW w:w="1984" w:type="dxa"/>
            <w:tcBorders>
              <w:top w:val="single" w:sz="4" w:space="0" w:color="auto"/>
              <w:left w:val="single" w:sz="4" w:space="0" w:color="auto"/>
              <w:bottom w:val="single" w:sz="4" w:space="0" w:color="auto"/>
              <w:right w:val="single" w:sz="4" w:space="0" w:color="auto"/>
            </w:tcBorders>
          </w:tcPr>
          <w:p w14:paraId="607DFB3B" w14:textId="187BFC8F" w:rsidR="001F2F19" w:rsidRPr="00BF22A8" w:rsidRDefault="005E6B76" w:rsidP="000B7609">
            <w:pPr>
              <w:pStyle w:val="ListParagraph"/>
              <w:ind w:left="154"/>
              <w:jc w:val="both"/>
              <w:rPr>
                <w:rFonts w:ascii="Arial" w:hAnsi="Arial" w:cs="Arial"/>
                <w:bCs/>
                <w:sz w:val="24"/>
                <w:szCs w:val="24"/>
                <w:lang w:val="en-GB"/>
              </w:rPr>
            </w:pPr>
            <w:r>
              <w:rPr>
                <w:rFonts w:ascii="Arial" w:hAnsi="Arial" w:cs="Arial"/>
                <w:bCs/>
                <w:sz w:val="24"/>
                <w:szCs w:val="24"/>
                <w:lang w:val="en-GB"/>
              </w:rPr>
              <w:t>Medium</w:t>
            </w:r>
          </w:p>
        </w:tc>
        <w:tc>
          <w:tcPr>
            <w:tcW w:w="6410" w:type="dxa"/>
            <w:tcBorders>
              <w:top w:val="single" w:sz="4" w:space="0" w:color="auto"/>
              <w:left w:val="single" w:sz="4" w:space="0" w:color="auto"/>
              <w:bottom w:val="single" w:sz="4" w:space="0" w:color="auto"/>
              <w:right w:val="single" w:sz="4" w:space="0" w:color="auto"/>
            </w:tcBorders>
          </w:tcPr>
          <w:p w14:paraId="5C1BDD6D" w14:textId="624C4E9A" w:rsidR="001F2F19" w:rsidRPr="00BF22A8" w:rsidRDefault="005E6B76" w:rsidP="000B7609">
            <w:pPr>
              <w:pStyle w:val="ListParagraph"/>
              <w:ind w:left="113"/>
              <w:jc w:val="both"/>
              <w:rPr>
                <w:rFonts w:ascii="Arial" w:hAnsi="Arial" w:cs="Arial"/>
                <w:bCs/>
                <w:sz w:val="24"/>
                <w:szCs w:val="24"/>
                <w:lang w:val="en-GB"/>
              </w:rPr>
            </w:pPr>
            <w:r>
              <w:rPr>
                <w:rFonts w:ascii="Arial" w:hAnsi="Arial" w:cs="Arial"/>
                <w:bCs/>
                <w:sz w:val="24"/>
                <w:szCs w:val="24"/>
                <w:lang w:val="en-GB"/>
              </w:rPr>
              <w:t xml:space="preserve">We give strong emphasis on </w:t>
            </w:r>
            <w:r w:rsidR="00C56CBC">
              <w:rPr>
                <w:rFonts w:ascii="Arial" w:hAnsi="Arial" w:cs="Arial"/>
                <w:bCs/>
                <w:sz w:val="24"/>
                <w:szCs w:val="24"/>
                <w:lang w:val="en-GB"/>
              </w:rPr>
              <w:t>available</w:t>
            </w:r>
            <w:r>
              <w:rPr>
                <w:rFonts w:ascii="Arial" w:hAnsi="Arial" w:cs="Arial"/>
                <w:bCs/>
                <w:sz w:val="24"/>
                <w:szCs w:val="24"/>
                <w:lang w:val="en-GB"/>
              </w:rPr>
              <w:t xml:space="preserve"> trading opportunities to provide our Clients with best execution</w:t>
            </w:r>
          </w:p>
        </w:tc>
      </w:tr>
      <w:tr w:rsidR="00BF22A8" w:rsidRPr="00BF22A8" w14:paraId="5C131D96"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2E5831A0"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Size of Order</w:t>
            </w:r>
          </w:p>
        </w:tc>
        <w:tc>
          <w:tcPr>
            <w:tcW w:w="1984" w:type="dxa"/>
            <w:tcBorders>
              <w:top w:val="single" w:sz="4" w:space="0" w:color="auto"/>
              <w:left w:val="single" w:sz="4" w:space="0" w:color="auto"/>
              <w:bottom w:val="single" w:sz="4" w:space="0" w:color="auto"/>
              <w:right w:val="single" w:sz="4" w:space="0" w:color="auto"/>
            </w:tcBorders>
            <w:hideMark/>
          </w:tcPr>
          <w:p w14:paraId="0874A11E"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Medium</w:t>
            </w:r>
          </w:p>
        </w:tc>
        <w:tc>
          <w:tcPr>
            <w:tcW w:w="6410" w:type="dxa"/>
            <w:tcBorders>
              <w:top w:val="single" w:sz="4" w:space="0" w:color="auto"/>
              <w:left w:val="single" w:sz="4" w:space="0" w:color="auto"/>
              <w:bottom w:val="single" w:sz="4" w:space="0" w:color="auto"/>
              <w:right w:val="single" w:sz="4" w:space="0" w:color="auto"/>
            </w:tcBorders>
            <w:hideMark/>
          </w:tcPr>
          <w:p w14:paraId="7D55B524" w14:textId="77777777"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We ensure the size is within the Client’s capabilities and to its interest</w:t>
            </w:r>
          </w:p>
        </w:tc>
      </w:tr>
      <w:tr w:rsidR="00BF22A8" w:rsidRPr="00BF22A8" w14:paraId="2FC840E1" w14:textId="77777777" w:rsidTr="00C56CBC">
        <w:trPr>
          <w:trHeight w:val="849"/>
        </w:trPr>
        <w:tc>
          <w:tcPr>
            <w:tcW w:w="1776" w:type="dxa"/>
            <w:tcBorders>
              <w:top w:val="single" w:sz="4" w:space="0" w:color="auto"/>
              <w:left w:val="single" w:sz="4" w:space="0" w:color="auto"/>
              <w:bottom w:val="single" w:sz="4" w:space="0" w:color="auto"/>
              <w:right w:val="single" w:sz="4" w:space="0" w:color="auto"/>
            </w:tcBorders>
            <w:hideMark/>
          </w:tcPr>
          <w:p w14:paraId="6462F8E7"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Market Impact</w:t>
            </w:r>
          </w:p>
        </w:tc>
        <w:tc>
          <w:tcPr>
            <w:tcW w:w="1984" w:type="dxa"/>
            <w:tcBorders>
              <w:top w:val="single" w:sz="4" w:space="0" w:color="auto"/>
              <w:left w:val="single" w:sz="4" w:space="0" w:color="auto"/>
              <w:bottom w:val="single" w:sz="4" w:space="0" w:color="auto"/>
              <w:right w:val="single" w:sz="4" w:space="0" w:color="auto"/>
            </w:tcBorders>
            <w:hideMark/>
          </w:tcPr>
          <w:p w14:paraId="43F3A7F5"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Medium</w:t>
            </w:r>
          </w:p>
        </w:tc>
        <w:tc>
          <w:tcPr>
            <w:tcW w:w="6410" w:type="dxa"/>
            <w:vMerge w:val="restart"/>
            <w:tcBorders>
              <w:top w:val="single" w:sz="4" w:space="0" w:color="auto"/>
              <w:left w:val="single" w:sz="4" w:space="0" w:color="auto"/>
              <w:bottom w:val="single" w:sz="4" w:space="0" w:color="auto"/>
              <w:right w:val="single" w:sz="4" w:space="0" w:color="auto"/>
            </w:tcBorders>
            <w:hideMark/>
          </w:tcPr>
          <w:p w14:paraId="757F4D60" w14:textId="77777777"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Some factors may rapidly affect the price of the underlying instruments/products from which the Company’s quoted price is derived and may also affect other factors listed herein. The Company will take all reasonable steps to obtain the best possible result for its Clients.</w:t>
            </w:r>
          </w:p>
        </w:tc>
      </w:tr>
      <w:tr w:rsidR="00BF22A8" w:rsidRPr="00BF22A8" w14:paraId="46622428"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306DCBE2"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Nature of Order</w:t>
            </w:r>
          </w:p>
        </w:tc>
        <w:tc>
          <w:tcPr>
            <w:tcW w:w="1984" w:type="dxa"/>
            <w:tcBorders>
              <w:top w:val="single" w:sz="4" w:space="0" w:color="auto"/>
              <w:left w:val="single" w:sz="4" w:space="0" w:color="auto"/>
              <w:bottom w:val="single" w:sz="4" w:space="0" w:color="auto"/>
              <w:right w:val="single" w:sz="4" w:space="0" w:color="auto"/>
            </w:tcBorders>
            <w:hideMark/>
          </w:tcPr>
          <w:p w14:paraId="7F337643"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Medium</w:t>
            </w:r>
          </w:p>
        </w:tc>
        <w:tc>
          <w:tcPr>
            <w:tcW w:w="6410" w:type="dxa"/>
            <w:vMerge/>
            <w:tcBorders>
              <w:top w:val="single" w:sz="4" w:space="0" w:color="auto"/>
              <w:left w:val="single" w:sz="4" w:space="0" w:color="auto"/>
              <w:bottom w:val="single" w:sz="4" w:space="0" w:color="auto"/>
              <w:right w:val="single" w:sz="4" w:space="0" w:color="auto"/>
            </w:tcBorders>
            <w:vAlign w:val="center"/>
            <w:hideMark/>
          </w:tcPr>
          <w:p w14:paraId="744CEE62" w14:textId="77777777" w:rsidR="00BF22A8" w:rsidRPr="00BF22A8" w:rsidRDefault="00BF22A8" w:rsidP="000B7609">
            <w:pPr>
              <w:pStyle w:val="ListParagraph"/>
              <w:ind w:left="113"/>
              <w:jc w:val="both"/>
              <w:rPr>
                <w:rFonts w:ascii="Arial" w:hAnsi="Arial" w:cs="Arial"/>
                <w:bCs/>
                <w:sz w:val="24"/>
                <w:szCs w:val="24"/>
              </w:rPr>
            </w:pPr>
          </w:p>
        </w:tc>
      </w:tr>
      <w:tr w:rsidR="00BF22A8" w:rsidRPr="00BF22A8" w14:paraId="75E4DBF6"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3E11E46E"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Clearing &amp; Settlement Facilities</w:t>
            </w:r>
          </w:p>
        </w:tc>
        <w:tc>
          <w:tcPr>
            <w:tcW w:w="1984" w:type="dxa"/>
            <w:tcBorders>
              <w:top w:val="single" w:sz="4" w:space="0" w:color="auto"/>
              <w:left w:val="single" w:sz="4" w:space="0" w:color="auto"/>
              <w:bottom w:val="single" w:sz="4" w:space="0" w:color="auto"/>
              <w:right w:val="single" w:sz="4" w:space="0" w:color="auto"/>
            </w:tcBorders>
            <w:hideMark/>
          </w:tcPr>
          <w:p w14:paraId="4F7517E4"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Medium</w:t>
            </w:r>
          </w:p>
        </w:tc>
        <w:tc>
          <w:tcPr>
            <w:tcW w:w="6410" w:type="dxa"/>
            <w:tcBorders>
              <w:top w:val="single" w:sz="4" w:space="0" w:color="auto"/>
              <w:left w:val="single" w:sz="4" w:space="0" w:color="auto"/>
              <w:bottom w:val="single" w:sz="4" w:space="0" w:color="auto"/>
              <w:right w:val="single" w:sz="4" w:space="0" w:color="auto"/>
            </w:tcBorders>
            <w:hideMark/>
          </w:tcPr>
          <w:p w14:paraId="5A226E0D" w14:textId="5406FA3E"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 xml:space="preserve">We give strong emphasis on the quality and cost effectiveness </w:t>
            </w:r>
            <w:r w:rsidR="001F2F19">
              <w:rPr>
                <w:rFonts w:ascii="Arial" w:hAnsi="Arial" w:cs="Arial"/>
                <w:bCs/>
                <w:sz w:val="24"/>
                <w:szCs w:val="24"/>
                <w:lang w:val="en-GB"/>
              </w:rPr>
              <w:t xml:space="preserve">of </w:t>
            </w:r>
            <w:r w:rsidRPr="00BF22A8">
              <w:rPr>
                <w:rFonts w:ascii="Arial" w:hAnsi="Arial" w:cs="Arial"/>
                <w:bCs/>
                <w:sz w:val="24"/>
                <w:szCs w:val="24"/>
                <w:lang w:val="en-GB"/>
              </w:rPr>
              <w:t>these facilities to provide our Clients with competitive settlement.</w:t>
            </w:r>
          </w:p>
        </w:tc>
      </w:tr>
      <w:tr w:rsidR="00BF22A8" w:rsidRPr="00BF22A8" w14:paraId="39A2B23E" w14:textId="77777777" w:rsidTr="00C56CBC">
        <w:tc>
          <w:tcPr>
            <w:tcW w:w="1776" w:type="dxa"/>
            <w:tcBorders>
              <w:top w:val="single" w:sz="4" w:space="0" w:color="auto"/>
              <w:left w:val="single" w:sz="4" w:space="0" w:color="auto"/>
              <w:bottom w:val="single" w:sz="4" w:space="0" w:color="auto"/>
              <w:right w:val="single" w:sz="4" w:space="0" w:color="auto"/>
            </w:tcBorders>
            <w:hideMark/>
          </w:tcPr>
          <w:p w14:paraId="67D75424" w14:textId="77777777" w:rsidR="00BF22A8" w:rsidRPr="00BF22A8" w:rsidRDefault="00BF22A8" w:rsidP="000B7609">
            <w:pPr>
              <w:pStyle w:val="ListParagraph"/>
              <w:ind w:left="80"/>
              <w:jc w:val="both"/>
              <w:rPr>
                <w:rFonts w:ascii="Arial" w:hAnsi="Arial" w:cs="Arial"/>
                <w:bCs/>
                <w:sz w:val="24"/>
                <w:szCs w:val="24"/>
                <w:lang w:val="en-GB"/>
              </w:rPr>
            </w:pPr>
            <w:r w:rsidRPr="00BF22A8">
              <w:rPr>
                <w:rFonts w:ascii="Arial" w:hAnsi="Arial" w:cs="Arial"/>
                <w:bCs/>
                <w:sz w:val="24"/>
                <w:szCs w:val="24"/>
                <w:lang w:val="en-GB"/>
              </w:rPr>
              <w:t>Costs</w:t>
            </w:r>
          </w:p>
        </w:tc>
        <w:tc>
          <w:tcPr>
            <w:tcW w:w="1984" w:type="dxa"/>
            <w:tcBorders>
              <w:top w:val="single" w:sz="4" w:space="0" w:color="auto"/>
              <w:left w:val="single" w:sz="4" w:space="0" w:color="auto"/>
              <w:bottom w:val="single" w:sz="4" w:space="0" w:color="auto"/>
              <w:right w:val="single" w:sz="4" w:space="0" w:color="auto"/>
            </w:tcBorders>
            <w:hideMark/>
          </w:tcPr>
          <w:p w14:paraId="4AC3D8F2" w14:textId="77777777" w:rsidR="00BF22A8" w:rsidRPr="00BF22A8" w:rsidRDefault="00BF22A8" w:rsidP="000B7609">
            <w:pPr>
              <w:pStyle w:val="ListParagraph"/>
              <w:ind w:left="154"/>
              <w:jc w:val="both"/>
              <w:rPr>
                <w:rFonts w:ascii="Arial" w:hAnsi="Arial" w:cs="Arial"/>
                <w:bCs/>
                <w:sz w:val="24"/>
                <w:szCs w:val="24"/>
                <w:lang w:val="en-GB"/>
              </w:rPr>
            </w:pPr>
            <w:r w:rsidRPr="00BF22A8">
              <w:rPr>
                <w:rFonts w:ascii="Arial" w:hAnsi="Arial" w:cs="Arial"/>
                <w:bCs/>
                <w:sz w:val="24"/>
                <w:szCs w:val="24"/>
                <w:lang w:val="en-GB"/>
              </w:rPr>
              <w:t>Medium</w:t>
            </w:r>
          </w:p>
        </w:tc>
        <w:tc>
          <w:tcPr>
            <w:tcW w:w="6410" w:type="dxa"/>
            <w:tcBorders>
              <w:top w:val="single" w:sz="4" w:space="0" w:color="auto"/>
              <w:left w:val="single" w:sz="4" w:space="0" w:color="auto"/>
              <w:bottom w:val="single" w:sz="4" w:space="0" w:color="auto"/>
              <w:right w:val="single" w:sz="4" w:space="0" w:color="auto"/>
            </w:tcBorders>
            <w:hideMark/>
          </w:tcPr>
          <w:p w14:paraId="56669D05" w14:textId="77777777" w:rsidR="00BF22A8" w:rsidRPr="00BF22A8" w:rsidRDefault="00BF22A8" w:rsidP="000B7609">
            <w:pPr>
              <w:pStyle w:val="ListParagraph"/>
              <w:ind w:left="113"/>
              <w:jc w:val="both"/>
              <w:rPr>
                <w:rFonts w:ascii="Arial" w:hAnsi="Arial" w:cs="Arial"/>
                <w:bCs/>
                <w:sz w:val="24"/>
                <w:szCs w:val="24"/>
                <w:lang w:val="en-GB"/>
              </w:rPr>
            </w:pPr>
            <w:r w:rsidRPr="00BF22A8">
              <w:rPr>
                <w:rFonts w:ascii="Arial" w:hAnsi="Arial" w:cs="Arial"/>
                <w:bCs/>
                <w:sz w:val="24"/>
                <w:szCs w:val="24"/>
                <w:lang w:val="en-GB"/>
              </w:rPr>
              <w:t>We consider the overall cost of executing a client order to provide the most effective and efficient Order execution that benefits both the client and the Company</w:t>
            </w:r>
          </w:p>
        </w:tc>
      </w:tr>
      <w:tr w:rsidR="001F2F19" w:rsidRPr="00BF22A8" w14:paraId="6A19C2B7" w14:textId="77777777" w:rsidTr="00C56CBC">
        <w:tc>
          <w:tcPr>
            <w:tcW w:w="1776" w:type="dxa"/>
            <w:tcBorders>
              <w:top w:val="single" w:sz="4" w:space="0" w:color="auto"/>
              <w:left w:val="single" w:sz="4" w:space="0" w:color="auto"/>
              <w:bottom w:val="single" w:sz="4" w:space="0" w:color="auto"/>
              <w:right w:val="single" w:sz="4" w:space="0" w:color="auto"/>
            </w:tcBorders>
          </w:tcPr>
          <w:p w14:paraId="754FC7B5" w14:textId="3F73A7A7" w:rsidR="001F2F19" w:rsidRPr="00BF22A8" w:rsidRDefault="001F2F19" w:rsidP="000B7609">
            <w:pPr>
              <w:pStyle w:val="ListParagraph"/>
              <w:ind w:left="80"/>
              <w:jc w:val="both"/>
              <w:rPr>
                <w:rFonts w:ascii="Arial" w:hAnsi="Arial" w:cs="Arial"/>
                <w:bCs/>
                <w:sz w:val="24"/>
                <w:szCs w:val="24"/>
                <w:lang w:val="en-GB"/>
              </w:rPr>
            </w:pPr>
            <w:r w:rsidRPr="001F2F19">
              <w:rPr>
                <w:rFonts w:ascii="Arial" w:hAnsi="Arial" w:cs="Arial"/>
                <w:bCs/>
                <w:sz w:val="24"/>
                <w:szCs w:val="24"/>
                <w:lang w:val="en-GB"/>
              </w:rPr>
              <w:t>Execution Venues</w:t>
            </w:r>
          </w:p>
        </w:tc>
        <w:tc>
          <w:tcPr>
            <w:tcW w:w="1984" w:type="dxa"/>
            <w:tcBorders>
              <w:top w:val="single" w:sz="4" w:space="0" w:color="auto"/>
              <w:left w:val="single" w:sz="4" w:space="0" w:color="auto"/>
              <w:bottom w:val="single" w:sz="4" w:space="0" w:color="auto"/>
              <w:right w:val="single" w:sz="4" w:space="0" w:color="auto"/>
            </w:tcBorders>
          </w:tcPr>
          <w:p w14:paraId="10AD72AD" w14:textId="11383452" w:rsidR="001F2F19" w:rsidRPr="00BF22A8" w:rsidRDefault="001F2F19" w:rsidP="000B7609">
            <w:pPr>
              <w:pStyle w:val="ListParagraph"/>
              <w:ind w:left="154"/>
              <w:jc w:val="both"/>
              <w:rPr>
                <w:rFonts w:ascii="Arial" w:hAnsi="Arial" w:cs="Arial"/>
                <w:bCs/>
                <w:sz w:val="24"/>
                <w:szCs w:val="24"/>
                <w:lang w:val="en-GB"/>
              </w:rPr>
            </w:pPr>
            <w:r w:rsidRPr="001F2F19">
              <w:rPr>
                <w:rFonts w:ascii="Arial" w:hAnsi="Arial" w:cs="Arial"/>
                <w:bCs/>
                <w:sz w:val="24"/>
                <w:szCs w:val="24"/>
                <w:lang w:val="en-GB"/>
              </w:rPr>
              <w:t>Medium</w:t>
            </w:r>
          </w:p>
        </w:tc>
        <w:tc>
          <w:tcPr>
            <w:tcW w:w="6410" w:type="dxa"/>
            <w:tcBorders>
              <w:top w:val="single" w:sz="4" w:space="0" w:color="auto"/>
              <w:left w:val="single" w:sz="4" w:space="0" w:color="auto"/>
              <w:bottom w:val="single" w:sz="4" w:space="0" w:color="auto"/>
              <w:right w:val="single" w:sz="4" w:space="0" w:color="auto"/>
            </w:tcBorders>
          </w:tcPr>
          <w:p w14:paraId="69151D81" w14:textId="4C1DBE5C" w:rsidR="001F2F19" w:rsidRPr="00BF22A8" w:rsidRDefault="001F2F19" w:rsidP="000B7609">
            <w:pPr>
              <w:pStyle w:val="ListParagraph"/>
              <w:ind w:left="113"/>
              <w:jc w:val="both"/>
              <w:rPr>
                <w:rFonts w:ascii="Arial" w:hAnsi="Arial" w:cs="Arial"/>
                <w:bCs/>
                <w:sz w:val="24"/>
                <w:szCs w:val="24"/>
                <w:lang w:val="en-GB"/>
              </w:rPr>
            </w:pPr>
            <w:r w:rsidRPr="001F2F19">
              <w:rPr>
                <w:rFonts w:ascii="Arial" w:hAnsi="Arial" w:cs="Arial"/>
                <w:bCs/>
                <w:sz w:val="24"/>
                <w:szCs w:val="24"/>
                <w:lang w:val="en-GB"/>
              </w:rPr>
              <w:t>We give strong emphasis on the quality of the execution venue and perform an in-depth assessment to ensure full order execution</w:t>
            </w:r>
          </w:p>
        </w:tc>
      </w:tr>
    </w:tbl>
    <w:p w14:paraId="017FF0CB" w14:textId="51DF62B2" w:rsidR="00BF22A8" w:rsidRDefault="00BF22A8" w:rsidP="000B7609">
      <w:pPr>
        <w:pStyle w:val="ListParagraph"/>
        <w:spacing w:after="0" w:line="240" w:lineRule="auto"/>
        <w:ind w:left="0"/>
        <w:jc w:val="both"/>
        <w:rPr>
          <w:rFonts w:ascii="Arial" w:hAnsi="Arial" w:cs="Arial"/>
          <w:bCs/>
          <w:sz w:val="24"/>
          <w:szCs w:val="24"/>
          <w:lang w:val="en-GB"/>
        </w:rPr>
      </w:pPr>
    </w:p>
    <w:p w14:paraId="01DA19FD" w14:textId="17536B93" w:rsidR="005E6B76" w:rsidRDefault="005E6B76" w:rsidP="000B7609">
      <w:pPr>
        <w:pStyle w:val="ListParagraph"/>
        <w:spacing w:after="0" w:line="240" w:lineRule="auto"/>
        <w:ind w:left="0"/>
        <w:jc w:val="both"/>
        <w:rPr>
          <w:rFonts w:ascii="Arial" w:hAnsi="Arial" w:cs="Arial"/>
          <w:bCs/>
          <w:sz w:val="24"/>
          <w:szCs w:val="24"/>
          <w:lang w:val="en-GB"/>
        </w:rPr>
      </w:pPr>
      <w:r>
        <w:rPr>
          <w:rFonts w:ascii="Arial" w:hAnsi="Arial" w:cs="Arial"/>
          <w:bCs/>
          <w:sz w:val="24"/>
          <w:szCs w:val="24"/>
          <w:lang w:val="en-GB"/>
        </w:rPr>
        <w:t xml:space="preserve">In 2020, the Company plans to join </w:t>
      </w:r>
      <w:r w:rsidR="00DF15C1" w:rsidRPr="00DF15C1">
        <w:rPr>
          <w:rFonts w:ascii="Arial" w:hAnsi="Arial" w:cs="Arial"/>
          <w:sz w:val="24"/>
          <w:szCs w:val="24"/>
        </w:rPr>
        <w:t xml:space="preserve">Bloomberg Trading Facility Limited’s multilateral trading facility </w:t>
      </w:r>
      <w:r w:rsidR="00DF15C1">
        <w:rPr>
          <w:rFonts w:ascii="Arial" w:hAnsi="Arial" w:cs="Arial"/>
          <w:sz w:val="24"/>
          <w:szCs w:val="24"/>
        </w:rPr>
        <w:t>(BMTF)</w:t>
      </w:r>
      <w:r w:rsidR="00DF15C1">
        <w:rPr>
          <w:rFonts w:ascii="Arial" w:hAnsi="Arial" w:cs="Arial"/>
          <w:bCs/>
          <w:sz w:val="24"/>
          <w:szCs w:val="24"/>
          <w:lang w:val="en-GB"/>
        </w:rPr>
        <w:t xml:space="preserve"> </w:t>
      </w:r>
      <w:r>
        <w:rPr>
          <w:rFonts w:ascii="Arial" w:hAnsi="Arial" w:cs="Arial"/>
          <w:bCs/>
          <w:sz w:val="24"/>
          <w:szCs w:val="24"/>
          <w:lang w:val="en-GB"/>
        </w:rPr>
        <w:t xml:space="preserve">and execute a part of its orders there. </w:t>
      </w:r>
    </w:p>
    <w:p w14:paraId="45FEF07B" w14:textId="73D82534" w:rsidR="005C3E9B" w:rsidRDefault="00C56CBC" w:rsidP="000B7609">
      <w:pPr>
        <w:pStyle w:val="ListParagraph"/>
        <w:spacing w:after="0" w:line="240" w:lineRule="auto"/>
        <w:ind w:left="0"/>
        <w:jc w:val="both"/>
        <w:rPr>
          <w:rFonts w:ascii="Arial" w:hAnsi="Arial" w:cs="Arial"/>
          <w:bCs/>
          <w:sz w:val="24"/>
          <w:szCs w:val="24"/>
          <w:lang w:val="en-GB"/>
        </w:rPr>
      </w:pPr>
      <w:r>
        <w:rPr>
          <w:rFonts w:ascii="Arial" w:hAnsi="Arial" w:cs="Arial"/>
          <w:bCs/>
          <w:sz w:val="24"/>
          <w:szCs w:val="24"/>
          <w:lang w:val="en-GB"/>
        </w:rPr>
        <w:t>In 2019, a</w:t>
      </w:r>
      <w:r w:rsidR="005C3E9B">
        <w:rPr>
          <w:rFonts w:ascii="Arial" w:hAnsi="Arial" w:cs="Arial"/>
          <w:bCs/>
          <w:sz w:val="24"/>
          <w:szCs w:val="24"/>
          <w:lang w:val="en-GB"/>
        </w:rPr>
        <w:t xml:space="preserve">ll client orders were executed in the OTC market. </w:t>
      </w:r>
    </w:p>
    <w:p w14:paraId="173F1A15" w14:textId="77777777" w:rsidR="005E6B76" w:rsidRPr="00BF22A8" w:rsidRDefault="005E6B76" w:rsidP="000B7609">
      <w:pPr>
        <w:pStyle w:val="ListParagraph"/>
        <w:spacing w:after="0" w:line="240" w:lineRule="auto"/>
        <w:ind w:left="0"/>
        <w:jc w:val="both"/>
        <w:rPr>
          <w:rFonts w:ascii="Arial" w:hAnsi="Arial" w:cs="Arial"/>
          <w:bCs/>
          <w:sz w:val="24"/>
          <w:szCs w:val="24"/>
          <w:lang w:val="en-GB"/>
        </w:rPr>
      </w:pPr>
    </w:p>
    <w:p w14:paraId="7EEDE6BD" w14:textId="6EE467C7" w:rsidR="003E23C4" w:rsidRDefault="003E23C4" w:rsidP="000B7609">
      <w:pPr>
        <w:pStyle w:val="ListParagraph"/>
        <w:numPr>
          <w:ilvl w:val="1"/>
          <w:numId w:val="7"/>
        </w:numPr>
        <w:spacing w:after="0" w:line="240" w:lineRule="auto"/>
        <w:jc w:val="both"/>
        <w:rPr>
          <w:rFonts w:ascii="Arial" w:hAnsi="Arial" w:cs="Arial"/>
          <w:b/>
          <w:sz w:val="24"/>
          <w:szCs w:val="24"/>
        </w:rPr>
      </w:pPr>
      <w:r>
        <w:rPr>
          <w:rFonts w:ascii="Arial" w:hAnsi="Arial" w:cs="Arial"/>
          <w:b/>
          <w:sz w:val="24"/>
          <w:szCs w:val="24"/>
        </w:rPr>
        <w:t>Conflicts of Interest</w:t>
      </w:r>
    </w:p>
    <w:p w14:paraId="07B9E97C" w14:textId="77777777" w:rsidR="003E23C4" w:rsidRDefault="003E23C4" w:rsidP="000B7609">
      <w:pPr>
        <w:tabs>
          <w:tab w:val="left" w:pos="1945"/>
        </w:tabs>
        <w:spacing w:after="0" w:line="240" w:lineRule="auto"/>
        <w:jc w:val="both"/>
        <w:rPr>
          <w:rFonts w:ascii="Arial" w:hAnsi="Arial" w:cs="Arial"/>
          <w:b/>
          <w:sz w:val="24"/>
          <w:szCs w:val="24"/>
        </w:rPr>
      </w:pPr>
    </w:p>
    <w:p w14:paraId="023EE13D" w14:textId="305036E4" w:rsidR="003E23C4" w:rsidRDefault="005C3E9B" w:rsidP="000B7609">
      <w:pPr>
        <w:tabs>
          <w:tab w:val="left" w:pos="1945"/>
        </w:tabs>
        <w:spacing w:after="0" w:line="240" w:lineRule="auto"/>
        <w:jc w:val="both"/>
        <w:rPr>
          <w:rFonts w:ascii="Arial" w:hAnsi="Arial" w:cs="Arial"/>
          <w:sz w:val="24"/>
          <w:szCs w:val="24"/>
        </w:rPr>
      </w:pPr>
      <w:r>
        <w:rPr>
          <w:rFonts w:ascii="Arial" w:hAnsi="Arial" w:cs="Arial"/>
          <w:sz w:val="24"/>
          <w:szCs w:val="24"/>
        </w:rPr>
        <w:t xml:space="preserve">As all trades were executed OTC and outside any trading venues, UGM Securities Ltd does not have any conflict of interest with any execution venues. For its OTC trading, UGM Securities utilized data and facilities offered by Bloomberg trading </w:t>
      </w:r>
      <w:r w:rsidR="00DF15C1">
        <w:rPr>
          <w:rFonts w:ascii="Arial" w:hAnsi="Arial" w:cs="Arial"/>
          <w:sz w:val="24"/>
          <w:szCs w:val="24"/>
        </w:rPr>
        <w:t>terminal</w:t>
      </w:r>
      <w:r>
        <w:rPr>
          <w:rFonts w:ascii="Arial" w:hAnsi="Arial" w:cs="Arial"/>
          <w:sz w:val="24"/>
          <w:szCs w:val="24"/>
        </w:rPr>
        <w:t xml:space="preserve">. But the Company does not have any close links, conflicts of interest, and common ownership with the mentioned entity. </w:t>
      </w:r>
    </w:p>
    <w:p w14:paraId="41539490" w14:textId="77777777" w:rsidR="003E23C4" w:rsidRDefault="003E23C4" w:rsidP="000B7609">
      <w:pPr>
        <w:tabs>
          <w:tab w:val="left" w:pos="1945"/>
        </w:tabs>
        <w:spacing w:after="0" w:line="240" w:lineRule="auto"/>
        <w:jc w:val="both"/>
        <w:rPr>
          <w:rFonts w:ascii="Arial" w:hAnsi="Arial" w:cs="Arial"/>
          <w:sz w:val="24"/>
          <w:szCs w:val="24"/>
        </w:rPr>
      </w:pPr>
    </w:p>
    <w:p w14:paraId="3E772305" w14:textId="77777777" w:rsidR="003E23C4" w:rsidRPr="005E5CCF" w:rsidRDefault="003E23C4" w:rsidP="000B7609">
      <w:pPr>
        <w:pStyle w:val="ListParagraph"/>
        <w:numPr>
          <w:ilvl w:val="1"/>
          <w:numId w:val="7"/>
        </w:numPr>
        <w:spacing w:after="0" w:line="240" w:lineRule="auto"/>
        <w:jc w:val="both"/>
        <w:rPr>
          <w:rFonts w:ascii="Arial" w:hAnsi="Arial" w:cs="Arial"/>
          <w:b/>
          <w:sz w:val="24"/>
          <w:szCs w:val="24"/>
        </w:rPr>
      </w:pPr>
      <w:r>
        <w:rPr>
          <w:rFonts w:ascii="Arial" w:hAnsi="Arial" w:cs="Arial"/>
          <w:b/>
          <w:sz w:val="24"/>
          <w:szCs w:val="24"/>
        </w:rPr>
        <w:t>Monetary</w:t>
      </w:r>
      <w:r w:rsidRPr="005E5CCF">
        <w:rPr>
          <w:rFonts w:ascii="Arial" w:hAnsi="Arial" w:cs="Arial"/>
          <w:b/>
          <w:sz w:val="24"/>
          <w:szCs w:val="24"/>
        </w:rPr>
        <w:t xml:space="preserve"> or </w:t>
      </w:r>
      <w:r>
        <w:rPr>
          <w:rFonts w:ascii="Arial" w:hAnsi="Arial" w:cs="Arial"/>
          <w:b/>
          <w:sz w:val="24"/>
          <w:szCs w:val="24"/>
        </w:rPr>
        <w:t>N</w:t>
      </w:r>
      <w:r w:rsidRPr="005E5CCF">
        <w:rPr>
          <w:rFonts w:ascii="Arial" w:hAnsi="Arial" w:cs="Arial"/>
          <w:b/>
          <w:sz w:val="24"/>
          <w:szCs w:val="24"/>
        </w:rPr>
        <w:t xml:space="preserve">on-monetary </w:t>
      </w:r>
      <w:r>
        <w:rPr>
          <w:rFonts w:ascii="Arial" w:hAnsi="Arial" w:cs="Arial"/>
          <w:b/>
          <w:sz w:val="24"/>
          <w:szCs w:val="24"/>
        </w:rPr>
        <w:t>B</w:t>
      </w:r>
      <w:r w:rsidRPr="005E5CCF">
        <w:rPr>
          <w:rFonts w:ascii="Arial" w:hAnsi="Arial" w:cs="Arial"/>
          <w:b/>
          <w:sz w:val="24"/>
          <w:szCs w:val="24"/>
        </w:rPr>
        <w:t xml:space="preserve">enefits </w:t>
      </w:r>
      <w:r>
        <w:rPr>
          <w:rFonts w:ascii="Arial" w:hAnsi="Arial" w:cs="Arial"/>
          <w:b/>
          <w:sz w:val="24"/>
          <w:szCs w:val="24"/>
        </w:rPr>
        <w:t>R</w:t>
      </w:r>
      <w:r w:rsidRPr="005E5CCF">
        <w:rPr>
          <w:rFonts w:ascii="Arial" w:hAnsi="Arial" w:cs="Arial"/>
          <w:b/>
          <w:sz w:val="24"/>
          <w:szCs w:val="24"/>
        </w:rPr>
        <w:t>eceived</w:t>
      </w:r>
    </w:p>
    <w:p w14:paraId="7B8744F7" w14:textId="77777777" w:rsidR="003E23C4" w:rsidRDefault="003E23C4" w:rsidP="000B7609">
      <w:pPr>
        <w:spacing w:after="0" w:line="240" w:lineRule="auto"/>
        <w:jc w:val="both"/>
        <w:rPr>
          <w:rFonts w:ascii="Arial" w:hAnsi="Arial" w:cs="Arial"/>
          <w:sz w:val="24"/>
          <w:szCs w:val="24"/>
        </w:rPr>
      </w:pPr>
    </w:p>
    <w:p w14:paraId="7C0E61FC" w14:textId="1599521B" w:rsidR="003E23C4" w:rsidRDefault="005C3E9B" w:rsidP="000B7609">
      <w:pPr>
        <w:spacing w:after="0" w:line="240" w:lineRule="auto"/>
        <w:jc w:val="both"/>
        <w:rPr>
          <w:rFonts w:ascii="Arial" w:hAnsi="Arial" w:cs="Arial"/>
          <w:sz w:val="24"/>
          <w:szCs w:val="24"/>
        </w:rPr>
      </w:pPr>
      <w:r>
        <w:rPr>
          <w:rFonts w:ascii="Arial" w:hAnsi="Arial" w:cs="Arial"/>
          <w:sz w:val="24"/>
          <w:szCs w:val="24"/>
        </w:rPr>
        <w:lastRenderedPageBreak/>
        <w:t xml:space="preserve">During the reporting period, the Company did not receive any remuneration, non-monetary benefit or discounts for reception, transmission or execution of client orders which would infringe </w:t>
      </w:r>
      <w:r w:rsidR="00DF15C1">
        <w:rPr>
          <w:rFonts w:ascii="Arial" w:hAnsi="Arial" w:cs="Arial"/>
          <w:sz w:val="24"/>
          <w:szCs w:val="24"/>
        </w:rPr>
        <w:t xml:space="preserve">any inducement requirements under MiFID II. </w:t>
      </w:r>
    </w:p>
    <w:p w14:paraId="35EF96FF" w14:textId="77777777" w:rsidR="00DF15C1" w:rsidRDefault="00DF15C1" w:rsidP="000B7609">
      <w:pPr>
        <w:spacing w:after="0" w:line="240" w:lineRule="auto"/>
        <w:jc w:val="both"/>
        <w:rPr>
          <w:rFonts w:ascii="Arial" w:hAnsi="Arial" w:cs="Arial"/>
          <w:sz w:val="24"/>
          <w:szCs w:val="24"/>
        </w:rPr>
      </w:pPr>
    </w:p>
    <w:p w14:paraId="4ED1EEFE" w14:textId="77777777" w:rsidR="003E23C4" w:rsidRDefault="003E23C4" w:rsidP="000B7609">
      <w:pPr>
        <w:pStyle w:val="ListParagraph"/>
        <w:numPr>
          <w:ilvl w:val="1"/>
          <w:numId w:val="7"/>
        </w:numPr>
        <w:spacing w:after="0" w:line="240" w:lineRule="auto"/>
        <w:jc w:val="both"/>
        <w:rPr>
          <w:rFonts w:ascii="Arial" w:hAnsi="Arial" w:cs="Arial"/>
          <w:b/>
          <w:sz w:val="24"/>
          <w:szCs w:val="24"/>
        </w:rPr>
      </w:pPr>
      <w:r>
        <w:rPr>
          <w:rFonts w:ascii="Arial" w:hAnsi="Arial" w:cs="Arial"/>
          <w:b/>
          <w:sz w:val="24"/>
          <w:szCs w:val="24"/>
        </w:rPr>
        <w:t>Changes in the Execution Venues</w:t>
      </w:r>
    </w:p>
    <w:p w14:paraId="66CA5638" w14:textId="77777777" w:rsidR="003E23C4" w:rsidRDefault="003E23C4" w:rsidP="000B7609">
      <w:pPr>
        <w:spacing w:after="0" w:line="240" w:lineRule="auto"/>
        <w:jc w:val="both"/>
        <w:rPr>
          <w:rFonts w:ascii="Arial" w:hAnsi="Arial" w:cs="Arial"/>
          <w:b/>
          <w:sz w:val="24"/>
          <w:szCs w:val="24"/>
        </w:rPr>
      </w:pPr>
    </w:p>
    <w:p w14:paraId="5E03D313" w14:textId="1F18EB0E" w:rsidR="003E23C4" w:rsidRDefault="00DF15C1" w:rsidP="000B7609">
      <w:pPr>
        <w:spacing w:after="0" w:line="240" w:lineRule="auto"/>
        <w:jc w:val="both"/>
        <w:rPr>
          <w:rFonts w:ascii="Arial" w:hAnsi="Arial" w:cs="Arial"/>
          <w:sz w:val="24"/>
          <w:szCs w:val="24"/>
        </w:rPr>
      </w:pPr>
      <w:r>
        <w:rPr>
          <w:rFonts w:ascii="Arial" w:hAnsi="Arial" w:cs="Arial"/>
          <w:sz w:val="24"/>
          <w:szCs w:val="24"/>
        </w:rPr>
        <w:t xml:space="preserve">During the reporting period, all client orders were executed in the OTC market with the help of Bloomberg trading terminal, the same way of execution as during the previous year. </w:t>
      </w:r>
    </w:p>
    <w:p w14:paraId="2D2E0FC6" w14:textId="4A75C06C" w:rsidR="00DF15C1" w:rsidRDefault="00DF15C1" w:rsidP="000B7609">
      <w:pPr>
        <w:spacing w:after="0" w:line="240" w:lineRule="auto"/>
        <w:jc w:val="both"/>
        <w:rPr>
          <w:rFonts w:ascii="Arial" w:hAnsi="Arial" w:cs="Arial"/>
          <w:sz w:val="24"/>
          <w:szCs w:val="24"/>
        </w:rPr>
      </w:pPr>
      <w:r>
        <w:rPr>
          <w:rFonts w:ascii="Arial" w:hAnsi="Arial" w:cs="Arial"/>
          <w:sz w:val="24"/>
          <w:szCs w:val="24"/>
        </w:rPr>
        <w:t xml:space="preserve">Next year, the Company aims to execute a part of its orders through </w:t>
      </w:r>
      <w:r w:rsidRPr="00DF15C1">
        <w:rPr>
          <w:rFonts w:ascii="Arial" w:hAnsi="Arial" w:cs="Arial"/>
          <w:sz w:val="24"/>
          <w:szCs w:val="24"/>
        </w:rPr>
        <w:t xml:space="preserve">Bloomberg Trading Facility Limited’s multilateral trading facility </w:t>
      </w:r>
      <w:r>
        <w:rPr>
          <w:rFonts w:ascii="Arial" w:hAnsi="Arial" w:cs="Arial"/>
          <w:sz w:val="24"/>
          <w:szCs w:val="24"/>
        </w:rPr>
        <w:t xml:space="preserve">(BMTF). </w:t>
      </w:r>
    </w:p>
    <w:p w14:paraId="2263D477" w14:textId="77777777" w:rsidR="00DF15C1" w:rsidRDefault="00DF15C1" w:rsidP="000B7609">
      <w:pPr>
        <w:spacing w:after="0" w:line="240" w:lineRule="auto"/>
        <w:jc w:val="both"/>
        <w:rPr>
          <w:rFonts w:ascii="Arial" w:hAnsi="Arial" w:cs="Arial"/>
          <w:sz w:val="24"/>
          <w:szCs w:val="24"/>
        </w:rPr>
      </w:pPr>
    </w:p>
    <w:p w14:paraId="53C5697A" w14:textId="77777777" w:rsidR="003E23C4" w:rsidRDefault="003E23C4" w:rsidP="000B7609">
      <w:pPr>
        <w:pStyle w:val="ListParagraph"/>
        <w:numPr>
          <w:ilvl w:val="1"/>
          <w:numId w:val="7"/>
        </w:numPr>
        <w:spacing w:after="0" w:line="240" w:lineRule="auto"/>
        <w:jc w:val="both"/>
        <w:rPr>
          <w:rFonts w:ascii="Arial" w:hAnsi="Arial" w:cs="Arial"/>
          <w:b/>
          <w:sz w:val="24"/>
          <w:szCs w:val="24"/>
        </w:rPr>
      </w:pPr>
      <w:r>
        <w:rPr>
          <w:rFonts w:ascii="Arial" w:hAnsi="Arial" w:cs="Arial"/>
          <w:b/>
          <w:sz w:val="24"/>
          <w:szCs w:val="24"/>
        </w:rPr>
        <w:t xml:space="preserve">Client </w:t>
      </w:r>
      <w:proofErr w:type="spellStart"/>
      <w:r>
        <w:rPr>
          <w:rFonts w:ascii="Arial" w:hAnsi="Arial" w:cs="Arial"/>
          <w:b/>
          <w:sz w:val="24"/>
          <w:szCs w:val="24"/>
        </w:rPr>
        <w:t>Categorisation</w:t>
      </w:r>
      <w:proofErr w:type="spellEnd"/>
    </w:p>
    <w:p w14:paraId="576C4489" w14:textId="77777777" w:rsidR="003E23C4" w:rsidRDefault="003E23C4" w:rsidP="000B7609">
      <w:pPr>
        <w:spacing w:after="0" w:line="240" w:lineRule="auto"/>
        <w:jc w:val="both"/>
        <w:rPr>
          <w:rFonts w:ascii="Arial" w:hAnsi="Arial" w:cs="Arial"/>
          <w:sz w:val="24"/>
          <w:szCs w:val="24"/>
        </w:rPr>
      </w:pPr>
    </w:p>
    <w:p w14:paraId="6F8E2617" w14:textId="158BDFA8" w:rsidR="003E23C4" w:rsidRDefault="003E23C4" w:rsidP="000B7609">
      <w:pPr>
        <w:spacing w:after="0" w:line="240" w:lineRule="auto"/>
        <w:jc w:val="both"/>
        <w:rPr>
          <w:rFonts w:ascii="Arial" w:hAnsi="Arial" w:cs="Arial"/>
          <w:sz w:val="24"/>
          <w:szCs w:val="24"/>
        </w:rPr>
      </w:pPr>
      <w:r>
        <w:rPr>
          <w:rFonts w:ascii="Arial" w:hAnsi="Arial" w:cs="Arial"/>
          <w:sz w:val="24"/>
          <w:szCs w:val="24"/>
        </w:rPr>
        <w:t xml:space="preserve">The Company only had </w:t>
      </w:r>
      <w:r w:rsidR="00DF15C1">
        <w:rPr>
          <w:rFonts w:ascii="Arial" w:hAnsi="Arial" w:cs="Arial"/>
          <w:sz w:val="24"/>
          <w:szCs w:val="24"/>
        </w:rPr>
        <w:t>P</w:t>
      </w:r>
      <w:r>
        <w:rPr>
          <w:rFonts w:ascii="Arial" w:hAnsi="Arial" w:cs="Arial"/>
          <w:sz w:val="24"/>
          <w:szCs w:val="24"/>
        </w:rPr>
        <w:t xml:space="preserve">rofessional </w:t>
      </w:r>
      <w:r w:rsidR="00DF15C1">
        <w:rPr>
          <w:rFonts w:ascii="Arial" w:hAnsi="Arial" w:cs="Arial"/>
          <w:sz w:val="24"/>
          <w:szCs w:val="24"/>
        </w:rPr>
        <w:t>C</w:t>
      </w:r>
      <w:r>
        <w:rPr>
          <w:rFonts w:ascii="Arial" w:hAnsi="Arial" w:cs="Arial"/>
          <w:sz w:val="24"/>
          <w:szCs w:val="24"/>
        </w:rPr>
        <w:t>lients during the year under review.</w:t>
      </w:r>
      <w:r w:rsidR="00DF15C1">
        <w:rPr>
          <w:rFonts w:ascii="Arial" w:hAnsi="Arial" w:cs="Arial"/>
          <w:sz w:val="24"/>
          <w:szCs w:val="24"/>
        </w:rPr>
        <w:t xml:space="preserve"> </w:t>
      </w:r>
    </w:p>
    <w:p w14:paraId="3B5836E5" w14:textId="77777777" w:rsidR="003E23C4" w:rsidRDefault="003E23C4" w:rsidP="000B7609">
      <w:pPr>
        <w:spacing w:after="0" w:line="240" w:lineRule="auto"/>
        <w:jc w:val="both"/>
        <w:rPr>
          <w:rFonts w:ascii="Arial" w:hAnsi="Arial" w:cs="Arial"/>
          <w:sz w:val="24"/>
          <w:szCs w:val="24"/>
        </w:rPr>
      </w:pPr>
    </w:p>
    <w:p w14:paraId="423EB074" w14:textId="77777777" w:rsidR="003E23C4" w:rsidRPr="00BA7A54" w:rsidRDefault="003E23C4" w:rsidP="000B7609">
      <w:pPr>
        <w:pStyle w:val="ListParagraph"/>
        <w:numPr>
          <w:ilvl w:val="1"/>
          <w:numId w:val="7"/>
        </w:numPr>
        <w:spacing w:after="0" w:line="240" w:lineRule="auto"/>
        <w:jc w:val="both"/>
        <w:rPr>
          <w:rFonts w:ascii="Arial" w:hAnsi="Arial" w:cs="Arial"/>
          <w:b/>
          <w:sz w:val="24"/>
          <w:szCs w:val="24"/>
        </w:rPr>
      </w:pPr>
      <w:r w:rsidRPr="00BA7A54">
        <w:rPr>
          <w:rFonts w:ascii="Arial" w:hAnsi="Arial" w:cs="Arial"/>
          <w:b/>
          <w:sz w:val="24"/>
          <w:szCs w:val="24"/>
        </w:rPr>
        <w:t>Data or Tools Used Regarding Quality of Execution</w:t>
      </w:r>
    </w:p>
    <w:p w14:paraId="7A0433FE" w14:textId="77777777" w:rsidR="003E23C4" w:rsidRDefault="003E23C4" w:rsidP="000B7609">
      <w:pPr>
        <w:spacing w:after="0" w:line="240" w:lineRule="auto"/>
        <w:jc w:val="both"/>
        <w:rPr>
          <w:rFonts w:ascii="Arial" w:hAnsi="Arial" w:cs="Arial"/>
          <w:sz w:val="24"/>
          <w:szCs w:val="24"/>
        </w:rPr>
      </w:pPr>
    </w:p>
    <w:p w14:paraId="75CC725F" w14:textId="2B828D44" w:rsidR="00E67412" w:rsidRPr="00297730" w:rsidRDefault="00297730" w:rsidP="000B7609">
      <w:pPr>
        <w:jc w:val="both"/>
        <w:rPr>
          <w:rFonts w:ascii="Arial" w:hAnsi="Arial" w:cs="Arial"/>
          <w:sz w:val="24"/>
          <w:szCs w:val="24"/>
        </w:rPr>
      </w:pPr>
      <w:r w:rsidRPr="00297730">
        <w:rPr>
          <w:rFonts w:ascii="Arial" w:hAnsi="Arial" w:cs="Arial"/>
          <w:sz w:val="24"/>
          <w:szCs w:val="24"/>
        </w:rPr>
        <w:t>The Company monitors the quality of execution offered to clients in debt instruments (bonds)</w:t>
      </w:r>
      <w:r>
        <w:rPr>
          <w:rFonts w:ascii="Arial" w:hAnsi="Arial" w:cs="Arial"/>
          <w:sz w:val="24"/>
          <w:szCs w:val="24"/>
        </w:rPr>
        <w:t xml:space="preserve"> manually</w:t>
      </w:r>
      <w:r w:rsidRPr="00297730">
        <w:rPr>
          <w:rFonts w:ascii="Arial" w:hAnsi="Arial" w:cs="Arial"/>
          <w:sz w:val="24"/>
          <w:szCs w:val="24"/>
        </w:rPr>
        <w:t xml:space="preserve"> on a consistent basis. </w:t>
      </w:r>
      <w:r w:rsidR="00EE4F33">
        <w:rPr>
          <w:rFonts w:ascii="Arial" w:hAnsi="Arial" w:cs="Arial"/>
          <w:sz w:val="24"/>
          <w:szCs w:val="24"/>
        </w:rPr>
        <w:t xml:space="preserve">The monitoring of the quality of execution is conducted through the comparison of data obtained from Bloomberg trading terminal and information from the OTC market (Eligible Counterparties who hold positions on securities). </w:t>
      </w:r>
    </w:p>
    <w:sectPr w:rsidR="00E67412" w:rsidRPr="00297730">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5FEA7F" w14:textId="77777777" w:rsidR="00D6333A" w:rsidRDefault="00D6333A" w:rsidP="00B01A62">
      <w:pPr>
        <w:spacing w:after="0" w:line="240" w:lineRule="auto"/>
      </w:pPr>
      <w:r>
        <w:separator/>
      </w:r>
    </w:p>
  </w:endnote>
  <w:endnote w:type="continuationSeparator" w:id="0">
    <w:p w14:paraId="47C4D96A" w14:textId="77777777" w:rsidR="00D6333A" w:rsidRDefault="00D6333A" w:rsidP="00B01A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9669BA" w14:textId="7CBF6C57" w:rsidR="00B01A62" w:rsidRPr="00B01A62" w:rsidRDefault="00B01A62" w:rsidP="00B01A62">
    <w:pPr>
      <w:jc w:val="center"/>
      <w:rPr>
        <w:sz w:val="18"/>
        <w:szCs w:val="18"/>
      </w:rPr>
    </w:pPr>
    <w:r w:rsidRPr="006848D4">
      <w:rPr>
        <w:rFonts w:cstheme="minorHAnsi"/>
        <w:sz w:val="18"/>
        <w:szCs w:val="18"/>
      </w:rPr>
      <w:t>UGM Securities Ltd is</w:t>
    </w:r>
    <w:r w:rsidRPr="006848D4">
      <w:rPr>
        <w:sz w:val="18"/>
        <w:szCs w:val="18"/>
      </w:rPr>
      <w:t xml:space="preserve"> a financial services firm with registration number HE360073 licensed and regulated by CySEC, CIF License Number </w:t>
    </w:r>
    <w:r w:rsidR="00DE5AF7" w:rsidRPr="00DE5AF7">
      <w:rPr>
        <w:sz w:val="18"/>
        <w:szCs w:val="18"/>
      </w:rPr>
      <w:t>352</w:t>
    </w:r>
    <w:r w:rsidRPr="00DE5AF7">
      <w:rPr>
        <w:sz w:val="18"/>
        <w:szCs w:val="18"/>
      </w:rPr>
      <w:t>/17</w:t>
    </w:r>
    <w:r w:rsidRPr="006848D4">
      <w:rPr>
        <w:sz w:val="18"/>
        <w:szCs w:val="18"/>
      </w:rPr>
      <w:t xml:space="preserve"> and located at </w:t>
    </w:r>
    <w:r w:rsidR="002206DB">
      <w:rPr>
        <w:sz w:val="18"/>
        <w:szCs w:val="18"/>
      </w:rPr>
      <w:t xml:space="preserve">Chytron </w:t>
    </w:r>
    <w:r w:rsidR="00041F9C">
      <w:rPr>
        <w:sz w:val="18"/>
        <w:szCs w:val="18"/>
      </w:rPr>
      <w:t>30</w:t>
    </w:r>
    <w:r w:rsidRPr="006848D4">
      <w:rPr>
        <w:sz w:val="18"/>
        <w:szCs w:val="18"/>
      </w:rPr>
      <w:t>,</w:t>
    </w:r>
    <w:r w:rsidR="002206DB">
      <w:rPr>
        <w:sz w:val="18"/>
        <w:szCs w:val="18"/>
      </w:rPr>
      <w:t xml:space="preserve"> Office 31,</w:t>
    </w:r>
    <w:r w:rsidRPr="006848D4">
      <w:rPr>
        <w:sz w:val="18"/>
        <w:szCs w:val="18"/>
      </w:rPr>
      <w:t xml:space="preserve"> </w:t>
    </w:r>
    <w:r w:rsidR="002206DB">
      <w:rPr>
        <w:sz w:val="18"/>
        <w:szCs w:val="18"/>
      </w:rPr>
      <w:t>1075</w:t>
    </w:r>
    <w:r w:rsidRPr="006848D4">
      <w:rPr>
        <w:sz w:val="18"/>
        <w:szCs w:val="18"/>
      </w:rPr>
      <w:t>, Nicosia, Cyprus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2DBB33" w14:textId="77777777" w:rsidR="00D6333A" w:rsidRDefault="00D6333A" w:rsidP="00B01A62">
      <w:pPr>
        <w:spacing w:after="0" w:line="240" w:lineRule="auto"/>
      </w:pPr>
      <w:r>
        <w:separator/>
      </w:r>
    </w:p>
  </w:footnote>
  <w:footnote w:type="continuationSeparator" w:id="0">
    <w:p w14:paraId="7E8D9194" w14:textId="77777777" w:rsidR="00D6333A" w:rsidRDefault="00D6333A" w:rsidP="00B01A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CB0173" w14:textId="77777777" w:rsidR="00065C33" w:rsidRDefault="00065C33" w:rsidP="00065C33">
    <w:r>
      <w:rPr>
        <w:noProof/>
      </w:rPr>
      <w:drawing>
        <wp:anchor distT="0" distB="0" distL="114300" distR="114300" simplePos="0" relativeHeight="251659264" behindDoc="0" locked="0" layoutInCell="1" allowOverlap="1" wp14:anchorId="77EEDB3A" wp14:editId="215D3316">
          <wp:simplePos x="0" y="0"/>
          <wp:positionH relativeFrom="margin">
            <wp:align>left</wp:align>
          </wp:positionH>
          <wp:positionV relativeFrom="paragraph">
            <wp:posOffset>0</wp:posOffset>
          </wp:positionV>
          <wp:extent cx="1892936" cy="571500"/>
          <wp:effectExtent l="0" t="0" r="0" b="0"/>
          <wp:wrapThrough wrapText="bothSides">
            <wp:wrapPolygon edited="0">
              <wp:start x="0" y="0"/>
              <wp:lineTo x="0" y="20880"/>
              <wp:lineTo x="21303" y="20880"/>
              <wp:lineTo x="21303" y="0"/>
              <wp:lineTo x="0" y="0"/>
            </wp:wrapPolygon>
          </wp:wrapThrough>
          <wp:docPr id="1" name="Picture 1" descr="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892936" cy="571500"/>
                  </a:xfrm>
                  <a:prstGeom prst="rect">
                    <a:avLst/>
                  </a:prstGeom>
                  <a:noFill/>
                  <a:ln>
                    <a:noFill/>
                    <a:prstDash/>
                  </a:ln>
                </pic:spPr>
              </pic:pic>
            </a:graphicData>
          </a:graphic>
        </wp:anchor>
      </w:drawing>
    </w:r>
  </w:p>
  <w:p w14:paraId="4203831A" w14:textId="77777777" w:rsidR="00065C33" w:rsidRDefault="00065C33" w:rsidP="00065C33">
    <w:pPr>
      <w:spacing w:after="0" w:line="240" w:lineRule="auto"/>
    </w:pPr>
  </w:p>
  <w:p w14:paraId="1BC94CB2" w14:textId="77777777" w:rsidR="00065C33" w:rsidRDefault="00065C33" w:rsidP="00065C33">
    <w:pPr>
      <w:spacing w:after="0" w:line="240" w:lineRule="auto"/>
      <w:rPr>
        <w:sz w:val="16"/>
        <w:szCs w:val="16"/>
      </w:rPr>
    </w:pPr>
  </w:p>
  <w:p w14:paraId="149010C0" w14:textId="77777777" w:rsidR="00065C33" w:rsidRDefault="00065C33" w:rsidP="00065C33">
    <w:pPr>
      <w:spacing w:after="0" w:line="240" w:lineRule="auto"/>
      <w:rPr>
        <w:sz w:val="16"/>
        <w:szCs w:val="16"/>
      </w:rPr>
    </w:pPr>
  </w:p>
  <w:p w14:paraId="75DF3F2F" w14:textId="77777777" w:rsidR="00065C33" w:rsidRDefault="00065C33" w:rsidP="00065C33">
    <w:pPr>
      <w:spacing w:after="0" w:line="240" w:lineRule="auto"/>
      <w:rPr>
        <w:color w:val="422100"/>
        <w:sz w:val="16"/>
        <w:szCs w:val="16"/>
      </w:rPr>
    </w:pPr>
    <w:r>
      <w:rPr>
        <w:color w:val="422100"/>
        <w:sz w:val="16"/>
        <w:szCs w:val="16"/>
      </w:rPr>
      <w:t>UGM Securities LTD</w:t>
    </w:r>
  </w:p>
  <w:p w14:paraId="1087D913" w14:textId="77777777" w:rsidR="00065C33" w:rsidRDefault="00065C33" w:rsidP="00065C33">
    <w:pPr>
      <w:spacing w:after="0" w:line="240" w:lineRule="auto"/>
      <w:rPr>
        <w:color w:val="422100"/>
        <w:sz w:val="16"/>
        <w:szCs w:val="16"/>
      </w:rPr>
    </w:pPr>
    <w:r>
      <w:rPr>
        <w:color w:val="422100"/>
        <w:sz w:val="16"/>
        <w:szCs w:val="16"/>
      </w:rPr>
      <w:t xml:space="preserve">Office 31, 30 </w:t>
    </w:r>
    <w:proofErr w:type="spellStart"/>
    <w:r>
      <w:rPr>
        <w:color w:val="422100"/>
        <w:sz w:val="16"/>
        <w:szCs w:val="16"/>
      </w:rPr>
      <w:t>Chytron</w:t>
    </w:r>
    <w:proofErr w:type="spellEnd"/>
    <w:r>
      <w:rPr>
        <w:color w:val="422100"/>
        <w:sz w:val="16"/>
        <w:szCs w:val="16"/>
      </w:rPr>
      <w:t xml:space="preserve"> Street,</w:t>
    </w:r>
  </w:p>
  <w:p w14:paraId="469F7010" w14:textId="77777777" w:rsidR="00065C33" w:rsidRDefault="00065C33" w:rsidP="00065C33">
    <w:pPr>
      <w:spacing w:after="0" w:line="240" w:lineRule="auto"/>
      <w:rPr>
        <w:color w:val="422100"/>
        <w:sz w:val="16"/>
        <w:szCs w:val="16"/>
      </w:rPr>
    </w:pPr>
    <w:r>
      <w:rPr>
        <w:color w:val="422100"/>
        <w:sz w:val="16"/>
        <w:szCs w:val="16"/>
      </w:rPr>
      <w:t>Nicosia, Cyprus, 1075</w:t>
    </w:r>
  </w:p>
  <w:p w14:paraId="6D9AFE8F" w14:textId="77777777" w:rsidR="00065C33" w:rsidRDefault="00065C33" w:rsidP="00065C33">
    <w:pPr>
      <w:spacing w:after="0" w:line="240" w:lineRule="auto"/>
      <w:rPr>
        <w:color w:val="422100"/>
        <w:sz w:val="16"/>
        <w:szCs w:val="16"/>
      </w:rPr>
    </w:pPr>
    <w:r>
      <w:rPr>
        <w:color w:val="422100"/>
        <w:sz w:val="16"/>
        <w:szCs w:val="16"/>
      </w:rPr>
      <w:t>Tel: +35722257670</w:t>
    </w:r>
  </w:p>
  <w:p w14:paraId="6E24B19A" w14:textId="77777777" w:rsidR="00065C33" w:rsidRDefault="00C56CBC" w:rsidP="00065C33">
    <w:pPr>
      <w:spacing w:after="0" w:line="240" w:lineRule="auto"/>
    </w:pPr>
    <w:hyperlink r:id="rId2" w:history="1">
      <w:r w:rsidR="00065C33">
        <w:rPr>
          <w:rStyle w:val="Hyperlink"/>
          <w:color w:val="422100"/>
          <w:sz w:val="16"/>
          <w:szCs w:val="16"/>
        </w:rPr>
        <w:t>www.ugm.com.cy</w:t>
      </w:r>
    </w:hyperlink>
    <w:r w:rsidR="00065C33">
      <w:rPr>
        <w:color w:val="422100"/>
        <w:sz w:val="16"/>
        <w:szCs w:val="16"/>
      </w:rPr>
      <w:t xml:space="preserve">, </w:t>
    </w:r>
    <w:hyperlink r:id="rId3" w:history="1">
      <w:r w:rsidR="00065C33">
        <w:rPr>
          <w:rStyle w:val="Hyperlink"/>
          <w:color w:val="422100"/>
          <w:sz w:val="16"/>
          <w:szCs w:val="16"/>
        </w:rPr>
        <w:t>info@ugm.com.cy</w:t>
      </w:r>
    </w:hyperlink>
    <w:r w:rsidR="00065C33">
      <w:rPr>
        <w:color w:val="422100"/>
        <w:sz w:val="16"/>
        <w:szCs w:val="16"/>
      </w:rPr>
      <w:t xml:space="preserve"> </w:t>
    </w:r>
  </w:p>
  <w:p w14:paraId="4F41F95F" w14:textId="77777777" w:rsidR="00041F9C" w:rsidRDefault="00041F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543FD"/>
    <w:multiLevelType w:val="hybridMultilevel"/>
    <w:tmpl w:val="EFCCEE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477635"/>
    <w:multiLevelType w:val="multilevel"/>
    <w:tmpl w:val="4DB458E4"/>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29636E1D"/>
    <w:multiLevelType w:val="hybridMultilevel"/>
    <w:tmpl w:val="34ECC47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4C5F77"/>
    <w:multiLevelType w:val="hybridMultilevel"/>
    <w:tmpl w:val="2F1EF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DF4AEF"/>
    <w:multiLevelType w:val="hybridMultilevel"/>
    <w:tmpl w:val="116C9A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A3400D"/>
    <w:multiLevelType w:val="hybridMultilevel"/>
    <w:tmpl w:val="0DC237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5657408"/>
    <w:multiLevelType w:val="hybridMultilevel"/>
    <w:tmpl w:val="2A708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2"/>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EDE"/>
    <w:rsid w:val="00041F9C"/>
    <w:rsid w:val="00065C33"/>
    <w:rsid w:val="000749D5"/>
    <w:rsid w:val="000B7609"/>
    <w:rsid w:val="00100E23"/>
    <w:rsid w:val="00196A3A"/>
    <w:rsid w:val="001A08D7"/>
    <w:rsid w:val="001A665F"/>
    <w:rsid w:val="001F2F19"/>
    <w:rsid w:val="002206DB"/>
    <w:rsid w:val="00297730"/>
    <w:rsid w:val="002F0C18"/>
    <w:rsid w:val="00393843"/>
    <w:rsid w:val="003E23C4"/>
    <w:rsid w:val="00514EFD"/>
    <w:rsid w:val="005C3E9B"/>
    <w:rsid w:val="005E4257"/>
    <w:rsid w:val="005E6B76"/>
    <w:rsid w:val="0066080F"/>
    <w:rsid w:val="00660E85"/>
    <w:rsid w:val="00697F54"/>
    <w:rsid w:val="00734F68"/>
    <w:rsid w:val="007D5F30"/>
    <w:rsid w:val="007E0D6D"/>
    <w:rsid w:val="00866D53"/>
    <w:rsid w:val="00886CAD"/>
    <w:rsid w:val="00900FD8"/>
    <w:rsid w:val="009B68B9"/>
    <w:rsid w:val="00A53222"/>
    <w:rsid w:val="00A747EF"/>
    <w:rsid w:val="00A869D5"/>
    <w:rsid w:val="00AF0A53"/>
    <w:rsid w:val="00B01A62"/>
    <w:rsid w:val="00B133A0"/>
    <w:rsid w:val="00B2199A"/>
    <w:rsid w:val="00B7345A"/>
    <w:rsid w:val="00BE2375"/>
    <w:rsid w:val="00BF22A8"/>
    <w:rsid w:val="00C56CBC"/>
    <w:rsid w:val="00CB3FA8"/>
    <w:rsid w:val="00CC7B1D"/>
    <w:rsid w:val="00D455EE"/>
    <w:rsid w:val="00D6333A"/>
    <w:rsid w:val="00DE5AF7"/>
    <w:rsid w:val="00DF15C1"/>
    <w:rsid w:val="00E67412"/>
    <w:rsid w:val="00E67635"/>
    <w:rsid w:val="00EE4F33"/>
    <w:rsid w:val="00F70EDE"/>
    <w:rsid w:val="00FA580A"/>
    <w:rsid w:val="00FB22EF"/>
    <w:rsid w:val="00FB6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8E8B649"/>
  <w15:docId w15:val="{83D5977F-E984-48A7-A8E2-3FE853AC2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8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08D7"/>
    <w:pPr>
      <w:ind w:left="720"/>
      <w:contextualSpacing/>
    </w:pPr>
  </w:style>
  <w:style w:type="paragraph" w:styleId="Header">
    <w:name w:val="header"/>
    <w:basedOn w:val="Normal"/>
    <w:link w:val="HeaderChar"/>
    <w:uiPriority w:val="99"/>
    <w:unhideWhenUsed/>
    <w:rsid w:val="00B01A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1A62"/>
  </w:style>
  <w:style w:type="paragraph" w:styleId="Footer">
    <w:name w:val="footer"/>
    <w:basedOn w:val="Normal"/>
    <w:link w:val="FooterChar"/>
    <w:uiPriority w:val="99"/>
    <w:unhideWhenUsed/>
    <w:rsid w:val="00B01A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1A62"/>
  </w:style>
  <w:style w:type="character" w:styleId="Hyperlink">
    <w:name w:val="Hyperlink"/>
    <w:basedOn w:val="DefaultParagraphFont"/>
    <w:rsid w:val="00065C33"/>
    <w:rPr>
      <w:color w:val="0563C1"/>
      <w:u w:val="single"/>
    </w:rPr>
  </w:style>
  <w:style w:type="table" w:styleId="TableGrid">
    <w:name w:val="Table Grid"/>
    <w:basedOn w:val="TableNormal"/>
    <w:uiPriority w:val="59"/>
    <w:rsid w:val="00BF22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E0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7085247">
      <w:bodyDiv w:val="1"/>
      <w:marLeft w:val="0"/>
      <w:marRight w:val="0"/>
      <w:marTop w:val="0"/>
      <w:marBottom w:val="0"/>
      <w:divBdr>
        <w:top w:val="none" w:sz="0" w:space="0" w:color="auto"/>
        <w:left w:val="none" w:sz="0" w:space="0" w:color="auto"/>
        <w:bottom w:val="none" w:sz="0" w:space="0" w:color="auto"/>
        <w:right w:val="none" w:sz="0" w:space="0" w:color="auto"/>
      </w:divBdr>
      <w:divsChild>
        <w:div w:id="603342383">
          <w:marLeft w:val="0"/>
          <w:marRight w:val="0"/>
          <w:marTop w:val="0"/>
          <w:marBottom w:val="0"/>
          <w:divBdr>
            <w:top w:val="none" w:sz="0" w:space="0" w:color="auto"/>
            <w:left w:val="none" w:sz="0" w:space="0" w:color="auto"/>
            <w:bottom w:val="none" w:sz="0" w:space="0" w:color="auto"/>
            <w:right w:val="none" w:sz="0" w:space="0" w:color="auto"/>
          </w:divBdr>
          <w:divsChild>
            <w:div w:id="1260719866">
              <w:marLeft w:val="0"/>
              <w:marRight w:val="0"/>
              <w:marTop w:val="0"/>
              <w:marBottom w:val="0"/>
              <w:divBdr>
                <w:top w:val="none" w:sz="0" w:space="0" w:color="auto"/>
                <w:left w:val="none" w:sz="0" w:space="0" w:color="auto"/>
                <w:bottom w:val="none" w:sz="0" w:space="0" w:color="auto"/>
                <w:right w:val="none" w:sz="0" w:space="0" w:color="auto"/>
              </w:divBdr>
              <w:divsChild>
                <w:div w:id="1138575874">
                  <w:marLeft w:val="0"/>
                  <w:marRight w:val="0"/>
                  <w:marTop w:val="0"/>
                  <w:marBottom w:val="0"/>
                  <w:divBdr>
                    <w:top w:val="none" w:sz="0" w:space="0" w:color="auto"/>
                    <w:left w:val="none" w:sz="0" w:space="0" w:color="auto"/>
                    <w:bottom w:val="none" w:sz="0" w:space="0" w:color="auto"/>
                    <w:right w:val="none" w:sz="0" w:space="0" w:color="auto"/>
                  </w:divBdr>
                  <w:divsChild>
                    <w:div w:id="1319917396">
                      <w:marLeft w:val="0"/>
                      <w:marRight w:val="0"/>
                      <w:marTop w:val="0"/>
                      <w:marBottom w:val="0"/>
                      <w:divBdr>
                        <w:top w:val="single" w:sz="6" w:space="8" w:color="DEDEDE"/>
                        <w:left w:val="single" w:sz="6" w:space="8" w:color="DEDEDE"/>
                        <w:bottom w:val="single" w:sz="6" w:space="8" w:color="DEDEDE"/>
                        <w:right w:val="single" w:sz="6" w:space="8" w:color="DEDEDE"/>
                      </w:divBdr>
                      <w:divsChild>
                        <w:div w:id="210129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7900889">
      <w:bodyDiv w:val="1"/>
      <w:marLeft w:val="0"/>
      <w:marRight w:val="0"/>
      <w:marTop w:val="0"/>
      <w:marBottom w:val="0"/>
      <w:divBdr>
        <w:top w:val="none" w:sz="0" w:space="0" w:color="auto"/>
        <w:left w:val="none" w:sz="0" w:space="0" w:color="auto"/>
        <w:bottom w:val="none" w:sz="0" w:space="0" w:color="auto"/>
        <w:right w:val="none" w:sz="0" w:space="0" w:color="auto"/>
      </w:divBdr>
      <w:divsChild>
        <w:div w:id="284848237">
          <w:marLeft w:val="0"/>
          <w:marRight w:val="0"/>
          <w:marTop w:val="0"/>
          <w:marBottom w:val="0"/>
          <w:divBdr>
            <w:top w:val="none" w:sz="0" w:space="0" w:color="auto"/>
            <w:left w:val="none" w:sz="0" w:space="0" w:color="auto"/>
            <w:bottom w:val="none" w:sz="0" w:space="0" w:color="auto"/>
            <w:right w:val="none" w:sz="0" w:space="0" w:color="auto"/>
          </w:divBdr>
          <w:divsChild>
            <w:div w:id="104077177">
              <w:marLeft w:val="0"/>
              <w:marRight w:val="0"/>
              <w:marTop w:val="0"/>
              <w:marBottom w:val="0"/>
              <w:divBdr>
                <w:top w:val="none" w:sz="0" w:space="0" w:color="auto"/>
                <w:left w:val="none" w:sz="0" w:space="0" w:color="auto"/>
                <w:bottom w:val="none" w:sz="0" w:space="0" w:color="auto"/>
                <w:right w:val="none" w:sz="0" w:space="0" w:color="auto"/>
              </w:divBdr>
              <w:divsChild>
                <w:div w:id="878784425">
                  <w:marLeft w:val="0"/>
                  <w:marRight w:val="0"/>
                  <w:marTop w:val="0"/>
                  <w:marBottom w:val="0"/>
                  <w:divBdr>
                    <w:top w:val="none" w:sz="0" w:space="0" w:color="auto"/>
                    <w:left w:val="none" w:sz="0" w:space="0" w:color="auto"/>
                    <w:bottom w:val="none" w:sz="0" w:space="0" w:color="auto"/>
                    <w:right w:val="none" w:sz="0" w:space="0" w:color="auto"/>
                  </w:divBdr>
                  <w:divsChild>
                    <w:div w:id="1135178668">
                      <w:marLeft w:val="0"/>
                      <w:marRight w:val="0"/>
                      <w:marTop w:val="0"/>
                      <w:marBottom w:val="0"/>
                      <w:divBdr>
                        <w:top w:val="single" w:sz="6" w:space="8" w:color="DEDEDE"/>
                        <w:left w:val="single" w:sz="6" w:space="8" w:color="DEDEDE"/>
                        <w:bottom w:val="single" w:sz="6" w:space="8" w:color="DEDEDE"/>
                        <w:right w:val="single" w:sz="6" w:space="8" w:color="DEDEDE"/>
                      </w:divBdr>
                      <w:divsChild>
                        <w:div w:id="187264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2833126">
      <w:bodyDiv w:val="1"/>
      <w:marLeft w:val="0"/>
      <w:marRight w:val="0"/>
      <w:marTop w:val="0"/>
      <w:marBottom w:val="0"/>
      <w:divBdr>
        <w:top w:val="none" w:sz="0" w:space="0" w:color="auto"/>
        <w:left w:val="none" w:sz="0" w:space="0" w:color="auto"/>
        <w:bottom w:val="none" w:sz="0" w:space="0" w:color="auto"/>
        <w:right w:val="none" w:sz="0" w:space="0" w:color="auto"/>
      </w:divBdr>
    </w:div>
    <w:div w:id="1044405976">
      <w:bodyDiv w:val="1"/>
      <w:marLeft w:val="0"/>
      <w:marRight w:val="0"/>
      <w:marTop w:val="0"/>
      <w:marBottom w:val="0"/>
      <w:divBdr>
        <w:top w:val="none" w:sz="0" w:space="0" w:color="auto"/>
        <w:left w:val="none" w:sz="0" w:space="0" w:color="auto"/>
        <w:bottom w:val="none" w:sz="0" w:space="0" w:color="auto"/>
        <w:right w:val="none" w:sz="0" w:space="0" w:color="auto"/>
      </w:divBdr>
    </w:div>
    <w:div w:id="1641762760">
      <w:bodyDiv w:val="1"/>
      <w:marLeft w:val="0"/>
      <w:marRight w:val="0"/>
      <w:marTop w:val="0"/>
      <w:marBottom w:val="0"/>
      <w:divBdr>
        <w:top w:val="none" w:sz="0" w:space="0" w:color="auto"/>
        <w:left w:val="none" w:sz="0" w:space="0" w:color="auto"/>
        <w:bottom w:val="none" w:sz="0" w:space="0" w:color="auto"/>
        <w:right w:val="none" w:sz="0" w:space="0" w:color="auto"/>
      </w:divBdr>
      <w:divsChild>
        <w:div w:id="547884899">
          <w:marLeft w:val="0"/>
          <w:marRight w:val="0"/>
          <w:marTop w:val="0"/>
          <w:marBottom w:val="0"/>
          <w:divBdr>
            <w:top w:val="none" w:sz="0" w:space="0" w:color="auto"/>
            <w:left w:val="none" w:sz="0" w:space="0" w:color="auto"/>
            <w:bottom w:val="none" w:sz="0" w:space="0" w:color="auto"/>
            <w:right w:val="none" w:sz="0" w:space="0" w:color="auto"/>
          </w:divBdr>
          <w:divsChild>
            <w:div w:id="1665815332">
              <w:marLeft w:val="0"/>
              <w:marRight w:val="0"/>
              <w:marTop w:val="0"/>
              <w:marBottom w:val="0"/>
              <w:divBdr>
                <w:top w:val="none" w:sz="0" w:space="0" w:color="auto"/>
                <w:left w:val="none" w:sz="0" w:space="0" w:color="auto"/>
                <w:bottom w:val="none" w:sz="0" w:space="0" w:color="auto"/>
                <w:right w:val="none" w:sz="0" w:space="0" w:color="auto"/>
              </w:divBdr>
              <w:divsChild>
                <w:div w:id="1589541862">
                  <w:marLeft w:val="0"/>
                  <w:marRight w:val="0"/>
                  <w:marTop w:val="0"/>
                  <w:marBottom w:val="0"/>
                  <w:divBdr>
                    <w:top w:val="none" w:sz="0" w:space="0" w:color="auto"/>
                    <w:left w:val="none" w:sz="0" w:space="0" w:color="auto"/>
                    <w:bottom w:val="none" w:sz="0" w:space="0" w:color="auto"/>
                    <w:right w:val="none" w:sz="0" w:space="0" w:color="auto"/>
                  </w:divBdr>
                  <w:divsChild>
                    <w:div w:id="1515220362">
                      <w:marLeft w:val="0"/>
                      <w:marRight w:val="0"/>
                      <w:marTop w:val="0"/>
                      <w:marBottom w:val="0"/>
                      <w:divBdr>
                        <w:top w:val="single" w:sz="6" w:space="8" w:color="DEDEDE"/>
                        <w:left w:val="single" w:sz="6" w:space="8" w:color="DEDEDE"/>
                        <w:bottom w:val="single" w:sz="6" w:space="8" w:color="DEDEDE"/>
                        <w:right w:val="single" w:sz="6" w:space="8" w:color="DEDEDE"/>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m.com.c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info@ugm.com.cy" TargetMode="External"/><Relationship Id="rId2" Type="http://schemas.openxmlformats.org/officeDocument/2006/relationships/hyperlink" Target="http://www.ugm.com.cy"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178BF-AD91-4C7F-BDA5-02ABBFF6E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AlterEgo</dc:creator>
  <cp:lastModifiedBy>Alina Krauter</cp:lastModifiedBy>
  <cp:revision>3</cp:revision>
  <cp:lastPrinted>2019-04-29T12:21:00Z</cp:lastPrinted>
  <dcterms:created xsi:type="dcterms:W3CDTF">2020-06-24T14:58:00Z</dcterms:created>
  <dcterms:modified xsi:type="dcterms:W3CDTF">2020-07-01T08:40:00Z</dcterms:modified>
</cp:coreProperties>
</file>